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8C5B1E5" w14:textId="77777777" w:rsidR="00632570" w:rsidRPr="00F06396" w:rsidRDefault="00632570" w:rsidP="00CF6878">
      <w:pPr>
        <w:spacing w:line="240" w:lineRule="auto"/>
        <w:jc w:val="center"/>
        <w:rPr>
          <w:rFonts w:cs="Arial"/>
          <w:sz w:val="22"/>
          <w:szCs w:val="22"/>
        </w:rPr>
      </w:pPr>
    </w:p>
    <w:p w14:paraId="6346764E" w14:textId="77777777" w:rsidR="00632570" w:rsidRDefault="00F75082" w:rsidP="00CF6878">
      <w:pPr>
        <w:spacing w:line="240" w:lineRule="auto"/>
        <w:jc w:val="center"/>
        <w:rPr>
          <w:rFonts w:cs="Arial"/>
          <w:sz w:val="22"/>
          <w:szCs w:val="22"/>
        </w:rPr>
      </w:pPr>
      <w:r>
        <w:rPr>
          <w:noProof/>
          <w:lang w:eastAsia="es-ES"/>
        </w:rPr>
        <w:drawing>
          <wp:anchor distT="0" distB="0" distL="114300" distR="114300" simplePos="0" relativeHeight="251659264" behindDoc="0" locked="0" layoutInCell="1" allowOverlap="1" wp14:anchorId="06C71D6D" wp14:editId="1FC08D0E">
            <wp:simplePos x="0" y="0"/>
            <wp:positionH relativeFrom="column">
              <wp:posOffset>-1905</wp:posOffset>
            </wp:positionH>
            <wp:positionV relativeFrom="paragraph">
              <wp:posOffset>-41275</wp:posOffset>
            </wp:positionV>
            <wp:extent cx="2239010" cy="600710"/>
            <wp:effectExtent l="19050" t="0" r="8890" b="0"/>
            <wp:wrapTopAndBottom/>
            <wp:docPr id="2" name="Imagen 13" descr="Logo SGCAN 2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Logo SGCAN 2008"/>
                    <pic:cNvPicPr>
                      <a:picLocks noChangeAspect="1" noChangeArrowheads="1"/>
                    </pic:cNvPicPr>
                  </pic:nvPicPr>
                  <pic:blipFill>
                    <a:blip r:embed="rId9" cstate="print"/>
                    <a:srcRect/>
                    <a:stretch>
                      <a:fillRect/>
                    </a:stretch>
                  </pic:blipFill>
                  <pic:spPr bwMode="auto">
                    <a:xfrm>
                      <a:off x="0" y="0"/>
                      <a:ext cx="2239010" cy="600710"/>
                    </a:xfrm>
                    <a:prstGeom prst="rect">
                      <a:avLst/>
                    </a:prstGeom>
                    <a:noFill/>
                  </pic:spPr>
                </pic:pic>
              </a:graphicData>
            </a:graphic>
          </wp:anchor>
        </w:drawing>
      </w:r>
    </w:p>
    <w:p w14:paraId="21357F8E" w14:textId="77777777" w:rsidR="00CF6878" w:rsidRDefault="00CF6878" w:rsidP="00CF6878">
      <w:pPr>
        <w:spacing w:line="240" w:lineRule="auto"/>
        <w:jc w:val="center"/>
        <w:rPr>
          <w:rFonts w:cs="Arial"/>
          <w:sz w:val="22"/>
          <w:szCs w:val="22"/>
        </w:rPr>
      </w:pPr>
    </w:p>
    <w:p w14:paraId="1C6B2FAC" w14:textId="77777777" w:rsidR="00CF6878" w:rsidRDefault="00CF6878" w:rsidP="00CF6878">
      <w:pPr>
        <w:spacing w:line="240" w:lineRule="auto"/>
        <w:jc w:val="center"/>
        <w:rPr>
          <w:rFonts w:cs="Arial"/>
          <w:sz w:val="22"/>
          <w:szCs w:val="22"/>
        </w:rPr>
      </w:pPr>
    </w:p>
    <w:p w14:paraId="57109F17" w14:textId="77777777" w:rsidR="00CF6878" w:rsidRPr="00F06396" w:rsidRDefault="00CF6878" w:rsidP="00CF6878">
      <w:pPr>
        <w:spacing w:line="240" w:lineRule="auto"/>
        <w:jc w:val="center"/>
        <w:rPr>
          <w:rFonts w:cs="Arial"/>
          <w:sz w:val="22"/>
          <w:szCs w:val="22"/>
        </w:rPr>
      </w:pPr>
    </w:p>
    <w:p w14:paraId="33B42BBE" w14:textId="77777777" w:rsidR="00A8504B" w:rsidRPr="00B70319" w:rsidRDefault="00A8504B" w:rsidP="00A8504B">
      <w:pPr>
        <w:widowControl/>
        <w:spacing w:line="240" w:lineRule="auto"/>
        <w:jc w:val="center"/>
        <w:rPr>
          <w:rFonts w:cs="Arial"/>
          <w:b/>
          <w:sz w:val="22"/>
          <w:szCs w:val="22"/>
          <w:u w:val="single"/>
        </w:rPr>
      </w:pPr>
      <w:r w:rsidRPr="00B70319">
        <w:rPr>
          <w:rFonts w:cs="Arial"/>
          <w:b/>
          <w:sz w:val="22"/>
          <w:szCs w:val="22"/>
          <w:u w:val="single"/>
        </w:rPr>
        <w:t>DICTAMEN Nº 00</w:t>
      </w:r>
      <w:r>
        <w:rPr>
          <w:rFonts w:cs="Arial"/>
          <w:b/>
          <w:sz w:val="22"/>
          <w:szCs w:val="22"/>
          <w:u w:val="single"/>
        </w:rPr>
        <w:t>2</w:t>
      </w:r>
      <w:r w:rsidRPr="00B70319">
        <w:rPr>
          <w:rFonts w:cs="Arial"/>
          <w:b/>
          <w:sz w:val="22"/>
          <w:szCs w:val="22"/>
          <w:u w:val="single"/>
        </w:rPr>
        <w:t xml:space="preserve"> - 2015</w:t>
      </w:r>
    </w:p>
    <w:p w14:paraId="21FEF191" w14:textId="77777777" w:rsidR="000E7B1C" w:rsidRPr="00F06396" w:rsidRDefault="000E7B1C" w:rsidP="00125988">
      <w:pPr>
        <w:widowControl/>
        <w:spacing w:line="240" w:lineRule="auto"/>
        <w:jc w:val="center"/>
        <w:rPr>
          <w:rFonts w:cs="Arial"/>
          <w:b/>
          <w:sz w:val="22"/>
          <w:szCs w:val="22"/>
        </w:rPr>
      </w:pPr>
    </w:p>
    <w:p w14:paraId="4C85FD79" w14:textId="77777777" w:rsidR="000E7B1C" w:rsidRPr="00F06396" w:rsidRDefault="000E7B1C" w:rsidP="00125988">
      <w:pPr>
        <w:widowControl/>
        <w:spacing w:line="240" w:lineRule="auto"/>
        <w:jc w:val="center"/>
        <w:rPr>
          <w:rFonts w:cs="Arial"/>
          <w:b/>
          <w:sz w:val="22"/>
          <w:szCs w:val="22"/>
        </w:rPr>
      </w:pPr>
      <w:r w:rsidRPr="00F06396">
        <w:rPr>
          <w:rFonts w:cs="Arial"/>
          <w:b/>
          <w:sz w:val="22"/>
          <w:szCs w:val="22"/>
        </w:rPr>
        <w:t>DE LA SECRETARÍA GENERAL DE LA COMUNIDAD ANDINA</w:t>
      </w:r>
    </w:p>
    <w:p w14:paraId="4B59F4D5" w14:textId="77777777" w:rsidR="000E7B1C" w:rsidRPr="00F06396" w:rsidRDefault="000E7B1C" w:rsidP="00125988">
      <w:pPr>
        <w:widowControl/>
        <w:spacing w:line="240" w:lineRule="auto"/>
        <w:rPr>
          <w:rFonts w:cs="Arial"/>
          <w:b/>
          <w:sz w:val="22"/>
          <w:szCs w:val="22"/>
        </w:rPr>
      </w:pPr>
    </w:p>
    <w:p w14:paraId="55125C1B" w14:textId="77777777" w:rsidR="000E7B1C" w:rsidRPr="00F06396" w:rsidRDefault="000E7B1C" w:rsidP="00125988">
      <w:pPr>
        <w:spacing w:line="240" w:lineRule="auto"/>
        <w:rPr>
          <w:rFonts w:cs="Arial"/>
          <w:sz w:val="22"/>
          <w:szCs w:val="22"/>
        </w:rPr>
      </w:pPr>
    </w:p>
    <w:p w14:paraId="3C6451A6" w14:textId="77777777" w:rsidR="007F22AD" w:rsidRPr="00F06396" w:rsidRDefault="007F22AD" w:rsidP="00125988">
      <w:pPr>
        <w:pStyle w:val="Prrafodelista"/>
        <w:widowControl/>
        <w:adjustRightInd/>
        <w:spacing w:line="240" w:lineRule="auto"/>
        <w:ind w:left="-12"/>
        <w:textAlignment w:val="auto"/>
        <w:rPr>
          <w:rFonts w:cs="Arial"/>
          <w:sz w:val="22"/>
          <w:szCs w:val="22"/>
        </w:rPr>
      </w:pPr>
      <w:r w:rsidRPr="00F06396">
        <w:rPr>
          <w:rFonts w:cs="Arial"/>
          <w:sz w:val="22"/>
          <w:szCs w:val="22"/>
          <w:shd w:val="clear" w:color="auto" w:fill="FFFFFF"/>
        </w:rPr>
        <w:t xml:space="preserve">Emitido conforme al Artículo 23 del Tratado de Creación del Tribunal de Justicia de la Comunidad Andina, </w:t>
      </w:r>
      <w:r w:rsidR="00871C12" w:rsidRPr="00F06396">
        <w:rPr>
          <w:rFonts w:cs="Arial"/>
          <w:sz w:val="22"/>
          <w:szCs w:val="22"/>
          <w:shd w:val="clear" w:color="auto" w:fill="FFFFFF"/>
        </w:rPr>
        <w:t xml:space="preserve">por </w:t>
      </w:r>
      <w:r w:rsidRPr="00F06396">
        <w:rPr>
          <w:rFonts w:cs="Arial"/>
          <w:sz w:val="22"/>
          <w:szCs w:val="22"/>
        </w:rPr>
        <w:t xml:space="preserve">supuesto incumplimiento de lo dispuesto en </w:t>
      </w:r>
      <w:r w:rsidR="009E5DD9" w:rsidRPr="00F06396">
        <w:rPr>
          <w:rFonts w:cs="Arial"/>
          <w:sz w:val="22"/>
          <w:szCs w:val="22"/>
        </w:rPr>
        <w:t>e</w:t>
      </w:r>
      <w:r w:rsidRPr="00F06396">
        <w:rPr>
          <w:rFonts w:cs="Arial"/>
          <w:sz w:val="22"/>
          <w:szCs w:val="22"/>
        </w:rPr>
        <w:t xml:space="preserve">l artículo </w:t>
      </w:r>
      <w:r w:rsidR="009E5DD9" w:rsidRPr="00F06396">
        <w:rPr>
          <w:rFonts w:cs="Arial"/>
          <w:sz w:val="22"/>
          <w:szCs w:val="22"/>
        </w:rPr>
        <w:t>1</w:t>
      </w:r>
      <w:r w:rsidRPr="00F06396">
        <w:rPr>
          <w:rFonts w:cs="Arial"/>
          <w:sz w:val="22"/>
          <w:szCs w:val="22"/>
        </w:rPr>
        <w:t>3</w:t>
      </w:r>
      <w:r w:rsidR="009E5DD9" w:rsidRPr="00F06396">
        <w:rPr>
          <w:rFonts w:cs="Arial"/>
          <w:sz w:val="22"/>
          <w:szCs w:val="22"/>
        </w:rPr>
        <w:t>9</w:t>
      </w:r>
      <w:r w:rsidRPr="00F06396">
        <w:rPr>
          <w:rFonts w:cs="Arial"/>
          <w:sz w:val="22"/>
          <w:szCs w:val="22"/>
        </w:rPr>
        <w:t xml:space="preserve"> del </w:t>
      </w:r>
      <w:r w:rsidR="009E5DD9" w:rsidRPr="00F06396">
        <w:rPr>
          <w:rFonts w:cs="Arial"/>
          <w:sz w:val="22"/>
          <w:szCs w:val="22"/>
        </w:rPr>
        <w:t xml:space="preserve">Acuerdo de Cartagena </w:t>
      </w:r>
      <w:r w:rsidRPr="00F06396">
        <w:rPr>
          <w:rFonts w:cs="Arial"/>
          <w:sz w:val="22"/>
          <w:szCs w:val="22"/>
        </w:rPr>
        <w:t>y l</w:t>
      </w:r>
      <w:r w:rsidR="009E5DD9" w:rsidRPr="00F06396">
        <w:rPr>
          <w:rFonts w:cs="Arial"/>
          <w:sz w:val="22"/>
          <w:szCs w:val="22"/>
        </w:rPr>
        <w:t xml:space="preserve">a </w:t>
      </w:r>
      <w:r w:rsidRPr="00F06396">
        <w:rPr>
          <w:rFonts w:cs="Arial"/>
          <w:sz w:val="22"/>
          <w:szCs w:val="22"/>
        </w:rPr>
        <w:t>Decisión 4</w:t>
      </w:r>
      <w:r w:rsidR="009E5DD9" w:rsidRPr="00F06396">
        <w:rPr>
          <w:rFonts w:cs="Arial"/>
          <w:sz w:val="22"/>
          <w:szCs w:val="22"/>
        </w:rPr>
        <w:t>16</w:t>
      </w:r>
      <w:r w:rsidRPr="00F06396">
        <w:rPr>
          <w:rFonts w:cs="Arial"/>
          <w:sz w:val="22"/>
          <w:szCs w:val="22"/>
        </w:rPr>
        <w:t xml:space="preserve"> </w:t>
      </w:r>
      <w:r w:rsidR="009E5DD9" w:rsidRPr="00F06396">
        <w:rPr>
          <w:rFonts w:cs="Arial"/>
          <w:sz w:val="22"/>
          <w:szCs w:val="22"/>
        </w:rPr>
        <w:t>Normas Especiales para la Calificación y Certificación del Origen de las Mercancías</w:t>
      </w:r>
      <w:r w:rsidRPr="00F06396">
        <w:rPr>
          <w:rFonts w:cs="Arial"/>
          <w:sz w:val="22"/>
          <w:szCs w:val="22"/>
        </w:rPr>
        <w:t>, por parte de la República de</w:t>
      </w:r>
      <w:r w:rsidR="009E5DD9" w:rsidRPr="00F06396">
        <w:rPr>
          <w:rFonts w:cs="Arial"/>
          <w:sz w:val="22"/>
          <w:szCs w:val="22"/>
        </w:rPr>
        <w:t>l</w:t>
      </w:r>
      <w:r w:rsidRPr="00F06396">
        <w:rPr>
          <w:rFonts w:cs="Arial"/>
          <w:sz w:val="22"/>
          <w:szCs w:val="22"/>
        </w:rPr>
        <w:t xml:space="preserve"> </w:t>
      </w:r>
      <w:r w:rsidR="009E5DD9" w:rsidRPr="00F06396">
        <w:rPr>
          <w:rFonts w:cs="Arial"/>
          <w:sz w:val="22"/>
          <w:szCs w:val="22"/>
        </w:rPr>
        <w:t>Perú</w:t>
      </w:r>
      <w:r w:rsidRPr="00F06396">
        <w:rPr>
          <w:rFonts w:cs="Arial"/>
          <w:sz w:val="22"/>
          <w:szCs w:val="22"/>
        </w:rPr>
        <w:t xml:space="preserve"> a través de</w:t>
      </w:r>
      <w:r w:rsidR="009E5DD9" w:rsidRPr="00F06396">
        <w:rPr>
          <w:rFonts w:cs="Arial"/>
          <w:sz w:val="22"/>
          <w:szCs w:val="22"/>
        </w:rPr>
        <w:t xml:space="preserve"> </w:t>
      </w:r>
      <w:r w:rsidRPr="00F06396">
        <w:rPr>
          <w:rFonts w:cs="Arial"/>
          <w:sz w:val="22"/>
          <w:szCs w:val="22"/>
        </w:rPr>
        <w:t>l</w:t>
      </w:r>
      <w:r w:rsidR="009E5DD9" w:rsidRPr="00F06396">
        <w:rPr>
          <w:rFonts w:cs="Arial"/>
          <w:sz w:val="22"/>
          <w:szCs w:val="22"/>
        </w:rPr>
        <w:t>a Superintendencia Nacional de Aduanas y de Administración Tributaria – SUNAT y el Tribunal Fiscal,</w:t>
      </w:r>
      <w:r w:rsidRPr="00F06396">
        <w:rPr>
          <w:rFonts w:cs="Arial"/>
          <w:sz w:val="22"/>
          <w:szCs w:val="22"/>
        </w:rPr>
        <w:t xml:space="preserve"> al haber</w:t>
      </w:r>
      <w:r w:rsidR="006104FD" w:rsidRPr="00F06396">
        <w:rPr>
          <w:rFonts w:cs="Arial"/>
          <w:sz w:val="22"/>
          <w:szCs w:val="22"/>
        </w:rPr>
        <w:t>se</w:t>
      </w:r>
      <w:r w:rsidRPr="00F06396">
        <w:rPr>
          <w:rFonts w:cs="Arial"/>
          <w:sz w:val="22"/>
          <w:szCs w:val="22"/>
        </w:rPr>
        <w:t xml:space="preserve"> </w:t>
      </w:r>
      <w:r w:rsidR="009E5DD9" w:rsidRPr="00F06396">
        <w:rPr>
          <w:rFonts w:cs="Arial"/>
          <w:sz w:val="22"/>
          <w:szCs w:val="22"/>
        </w:rPr>
        <w:t>exigido requisitos adicionales en los certificados de origen y no haber</w:t>
      </w:r>
      <w:r w:rsidR="006104FD" w:rsidRPr="00F06396">
        <w:rPr>
          <w:rFonts w:cs="Arial"/>
          <w:sz w:val="22"/>
          <w:szCs w:val="22"/>
        </w:rPr>
        <w:t>se</w:t>
      </w:r>
      <w:r w:rsidR="009E5DD9" w:rsidRPr="00F06396">
        <w:rPr>
          <w:rFonts w:cs="Arial"/>
          <w:sz w:val="22"/>
          <w:szCs w:val="22"/>
        </w:rPr>
        <w:t xml:space="preserve"> aplicado la Cláusula de Nación Más Favorecida</w:t>
      </w:r>
      <w:r w:rsidRPr="00F06396">
        <w:rPr>
          <w:rFonts w:cs="Arial"/>
          <w:sz w:val="22"/>
          <w:szCs w:val="22"/>
        </w:rPr>
        <w:t>.</w:t>
      </w:r>
    </w:p>
    <w:p w14:paraId="6F9D1EF9" w14:textId="77777777" w:rsidR="007F22AD" w:rsidRPr="00F06396" w:rsidRDefault="007F22AD" w:rsidP="00125988">
      <w:pPr>
        <w:pStyle w:val="Prrafodelista"/>
        <w:widowControl/>
        <w:adjustRightInd/>
        <w:spacing w:line="240" w:lineRule="auto"/>
        <w:ind w:left="-12"/>
        <w:textAlignment w:val="auto"/>
        <w:rPr>
          <w:rFonts w:cs="Arial"/>
          <w:sz w:val="22"/>
          <w:szCs w:val="22"/>
        </w:rPr>
      </w:pPr>
    </w:p>
    <w:p w14:paraId="79BA3635" w14:textId="77777777" w:rsidR="000E7B1C" w:rsidRPr="00F06396" w:rsidRDefault="000E7B1C" w:rsidP="00125988">
      <w:pPr>
        <w:widowControl/>
        <w:spacing w:line="240" w:lineRule="auto"/>
        <w:jc w:val="right"/>
        <w:rPr>
          <w:rFonts w:cs="Arial"/>
          <w:sz w:val="22"/>
          <w:szCs w:val="22"/>
        </w:rPr>
      </w:pPr>
      <w:r w:rsidRPr="00F06396">
        <w:rPr>
          <w:rFonts w:cs="Arial"/>
          <w:sz w:val="22"/>
          <w:szCs w:val="22"/>
        </w:rPr>
        <w:t xml:space="preserve">Lima, </w:t>
      </w:r>
      <w:r w:rsidR="00F06396">
        <w:rPr>
          <w:rFonts w:cs="Arial"/>
          <w:sz w:val="22"/>
          <w:szCs w:val="22"/>
        </w:rPr>
        <w:t>14</w:t>
      </w:r>
      <w:r w:rsidR="003B1A4F" w:rsidRPr="00F06396">
        <w:rPr>
          <w:rFonts w:cs="Arial"/>
          <w:sz w:val="22"/>
          <w:szCs w:val="22"/>
        </w:rPr>
        <w:t xml:space="preserve"> </w:t>
      </w:r>
      <w:r w:rsidRPr="00F06396">
        <w:rPr>
          <w:rFonts w:cs="Arial"/>
          <w:sz w:val="22"/>
          <w:szCs w:val="22"/>
        </w:rPr>
        <w:t xml:space="preserve">de </w:t>
      </w:r>
      <w:r w:rsidR="004877C1">
        <w:rPr>
          <w:rFonts w:cs="Arial"/>
          <w:sz w:val="22"/>
          <w:szCs w:val="22"/>
        </w:rPr>
        <w:t>mayo</w:t>
      </w:r>
      <w:r w:rsidRPr="00F06396">
        <w:rPr>
          <w:rFonts w:cs="Arial"/>
          <w:sz w:val="22"/>
          <w:szCs w:val="22"/>
        </w:rPr>
        <w:t xml:space="preserve"> de 201</w:t>
      </w:r>
      <w:r w:rsidR="00AB7416" w:rsidRPr="00F06396">
        <w:rPr>
          <w:rFonts w:cs="Arial"/>
          <w:sz w:val="22"/>
          <w:szCs w:val="22"/>
        </w:rPr>
        <w:t>5</w:t>
      </w:r>
    </w:p>
    <w:p w14:paraId="77BE83EA" w14:textId="77777777" w:rsidR="000E7B1C" w:rsidRPr="00F06396" w:rsidRDefault="000E7B1C" w:rsidP="00125988">
      <w:pPr>
        <w:widowControl/>
        <w:spacing w:line="240" w:lineRule="auto"/>
        <w:rPr>
          <w:rFonts w:cs="Arial"/>
          <w:sz w:val="22"/>
          <w:szCs w:val="22"/>
        </w:rPr>
      </w:pPr>
    </w:p>
    <w:p w14:paraId="62D7A12A" w14:textId="77777777" w:rsidR="007F22AD" w:rsidRPr="00F06396" w:rsidRDefault="007F22AD" w:rsidP="00125988">
      <w:pPr>
        <w:spacing w:line="240" w:lineRule="auto"/>
        <w:rPr>
          <w:rFonts w:cs="Arial"/>
          <w:sz w:val="22"/>
          <w:szCs w:val="22"/>
        </w:rPr>
      </w:pPr>
      <w:r w:rsidRPr="00F06396">
        <w:rPr>
          <w:rFonts w:cs="Arial"/>
          <w:sz w:val="22"/>
          <w:szCs w:val="22"/>
        </w:rPr>
        <w:t>El artículo 9 de la Decisión 623 dispone el contenido de los Dictámenes que debe proferir la Secretaría General en los procedimientos sobre eventuales incumplimientos que lleve adelante.</w:t>
      </w:r>
    </w:p>
    <w:p w14:paraId="054EBD86" w14:textId="77777777" w:rsidR="007F22AD" w:rsidRPr="00F06396" w:rsidRDefault="007F22AD" w:rsidP="00125988">
      <w:pPr>
        <w:spacing w:line="240" w:lineRule="auto"/>
        <w:rPr>
          <w:rFonts w:cs="Arial"/>
          <w:sz w:val="22"/>
          <w:szCs w:val="22"/>
        </w:rPr>
      </w:pPr>
    </w:p>
    <w:p w14:paraId="38C97B6C" w14:textId="77777777" w:rsidR="007F22AD" w:rsidRPr="00F06396" w:rsidRDefault="007F22AD" w:rsidP="00125988">
      <w:pPr>
        <w:spacing w:line="240" w:lineRule="auto"/>
        <w:rPr>
          <w:rFonts w:cs="Arial"/>
          <w:sz w:val="22"/>
          <w:szCs w:val="22"/>
        </w:rPr>
      </w:pPr>
      <w:r w:rsidRPr="00F06396">
        <w:rPr>
          <w:rFonts w:cs="Arial"/>
          <w:sz w:val="22"/>
          <w:szCs w:val="22"/>
        </w:rPr>
        <w:t>Se presenta a continuación el Dictamen de la Secretaría General para el presente caso, conforme a la estructura determinada por el señalado artículo.</w:t>
      </w:r>
    </w:p>
    <w:p w14:paraId="2490AB7D" w14:textId="77777777" w:rsidR="007F22AD" w:rsidRPr="00F06396" w:rsidRDefault="007F22AD" w:rsidP="00125988">
      <w:pPr>
        <w:widowControl/>
        <w:spacing w:line="240" w:lineRule="auto"/>
        <w:rPr>
          <w:rFonts w:cs="Arial"/>
          <w:sz w:val="22"/>
          <w:szCs w:val="22"/>
        </w:rPr>
      </w:pPr>
    </w:p>
    <w:p w14:paraId="5D0F984D" w14:textId="77777777" w:rsidR="007F22AD" w:rsidRPr="00F06396" w:rsidRDefault="007F22AD" w:rsidP="00125988">
      <w:pPr>
        <w:pStyle w:val="Prrafodelista"/>
        <w:widowControl/>
        <w:numPr>
          <w:ilvl w:val="0"/>
          <w:numId w:val="34"/>
        </w:numPr>
        <w:adjustRightInd/>
        <w:spacing w:line="240" w:lineRule="auto"/>
        <w:ind w:left="0" w:hanging="426"/>
        <w:textAlignment w:val="auto"/>
        <w:rPr>
          <w:rFonts w:cs="Arial"/>
          <w:b/>
          <w:sz w:val="22"/>
          <w:szCs w:val="22"/>
        </w:rPr>
      </w:pPr>
      <w:r w:rsidRPr="00F06396">
        <w:rPr>
          <w:rFonts w:cs="Arial"/>
          <w:b/>
          <w:sz w:val="22"/>
          <w:szCs w:val="22"/>
        </w:rPr>
        <w:t>SUMILLA.-</w:t>
      </w:r>
    </w:p>
    <w:p w14:paraId="3A529D29" w14:textId="77777777" w:rsidR="007F22AD" w:rsidRPr="00F06396" w:rsidRDefault="007F22AD" w:rsidP="00125988">
      <w:pPr>
        <w:pStyle w:val="Prrafodelista"/>
        <w:spacing w:line="240" w:lineRule="auto"/>
        <w:ind w:left="1080"/>
        <w:rPr>
          <w:rFonts w:cs="Arial"/>
          <w:b/>
          <w:sz w:val="22"/>
          <w:szCs w:val="22"/>
        </w:rPr>
      </w:pPr>
    </w:p>
    <w:p w14:paraId="0E6409E9" w14:textId="77777777" w:rsidR="008C7796" w:rsidRPr="00F06396" w:rsidRDefault="008C7796" w:rsidP="00125988">
      <w:pPr>
        <w:pStyle w:val="Prrafodelista"/>
        <w:widowControl/>
        <w:numPr>
          <w:ilvl w:val="0"/>
          <w:numId w:val="35"/>
        </w:numPr>
        <w:adjustRightInd/>
        <w:spacing w:line="240" w:lineRule="auto"/>
        <w:ind w:left="-12" w:hanging="357"/>
        <w:textAlignment w:val="auto"/>
        <w:rPr>
          <w:rFonts w:cs="Arial"/>
          <w:sz w:val="22"/>
          <w:szCs w:val="22"/>
        </w:rPr>
      </w:pPr>
      <w:r w:rsidRPr="00F06396">
        <w:rPr>
          <w:rFonts w:cs="Arial"/>
          <w:sz w:val="22"/>
          <w:szCs w:val="22"/>
        </w:rPr>
        <w:t>Las empresas EMBOTELLADORA RIVERA S.A.C. y LOUIS DREYFUS COMMODITIES PERÚ S.R.L.</w:t>
      </w:r>
      <w:r w:rsidRPr="00F06396">
        <w:rPr>
          <w:rFonts w:cs="Arial"/>
          <w:color w:val="000000"/>
          <w:sz w:val="22"/>
          <w:szCs w:val="22"/>
          <w:lang w:eastAsia="es-ES"/>
        </w:rPr>
        <w:t xml:space="preserve">, </w:t>
      </w:r>
      <w:r w:rsidRPr="00F06396">
        <w:rPr>
          <w:rFonts w:cs="Arial"/>
          <w:sz w:val="22"/>
          <w:szCs w:val="22"/>
        </w:rPr>
        <w:t>presentaron ante la Secretaría General de la Comunidad Andina, reclamo por supuesto incumplimiento de lo dispuesto en el artículo 139 del Acuerdo de Cartagena y la Decisión 416 Normas Especiales para la Calificación y Certificación del Origen de las Mercancías, por parte de la Superintendencia Nacional de Aduanas y de Administración Tributaria – SUNAT y el Tribunal Fiscal de la República del Perú, al haber</w:t>
      </w:r>
      <w:r w:rsidR="00497C11" w:rsidRPr="00F06396">
        <w:rPr>
          <w:rFonts w:cs="Arial"/>
          <w:sz w:val="22"/>
          <w:szCs w:val="22"/>
        </w:rPr>
        <w:t>se</w:t>
      </w:r>
      <w:r w:rsidRPr="00F06396">
        <w:rPr>
          <w:rFonts w:cs="Arial"/>
          <w:sz w:val="22"/>
          <w:szCs w:val="22"/>
        </w:rPr>
        <w:t xml:space="preserve"> exigido requisitos adicionales en los certificados de origen y no haber</w:t>
      </w:r>
      <w:r w:rsidR="00497C11" w:rsidRPr="00F06396">
        <w:rPr>
          <w:rFonts w:cs="Arial"/>
          <w:sz w:val="22"/>
          <w:szCs w:val="22"/>
        </w:rPr>
        <w:t>se</w:t>
      </w:r>
      <w:r w:rsidRPr="00F06396">
        <w:rPr>
          <w:rFonts w:cs="Arial"/>
          <w:sz w:val="22"/>
          <w:szCs w:val="22"/>
        </w:rPr>
        <w:t xml:space="preserve"> aplicado la Cláusula de Nación Más Favorecida.</w:t>
      </w:r>
    </w:p>
    <w:p w14:paraId="2EDCE538" w14:textId="77777777" w:rsidR="007F22AD" w:rsidRPr="00F06396" w:rsidRDefault="007F22AD" w:rsidP="00125988">
      <w:pPr>
        <w:pStyle w:val="Prrafodelista"/>
        <w:spacing w:line="240" w:lineRule="auto"/>
        <w:rPr>
          <w:rFonts w:cs="Arial"/>
          <w:b/>
          <w:sz w:val="22"/>
          <w:szCs w:val="22"/>
        </w:rPr>
      </w:pPr>
    </w:p>
    <w:p w14:paraId="6B526A4F" w14:textId="77777777" w:rsidR="007F22AD" w:rsidRPr="00F06396" w:rsidRDefault="007F22AD" w:rsidP="00125988">
      <w:pPr>
        <w:pStyle w:val="Prrafodelista"/>
        <w:widowControl/>
        <w:numPr>
          <w:ilvl w:val="0"/>
          <w:numId w:val="34"/>
        </w:numPr>
        <w:adjustRightInd/>
        <w:spacing w:line="240" w:lineRule="auto"/>
        <w:ind w:left="0" w:hanging="426"/>
        <w:textAlignment w:val="auto"/>
        <w:rPr>
          <w:rFonts w:cs="Arial"/>
          <w:b/>
          <w:sz w:val="22"/>
          <w:szCs w:val="22"/>
        </w:rPr>
      </w:pPr>
      <w:r w:rsidRPr="00F06396">
        <w:rPr>
          <w:rFonts w:cs="Arial"/>
          <w:b/>
          <w:sz w:val="22"/>
          <w:szCs w:val="22"/>
        </w:rPr>
        <w:t>ANÁLISIS.-</w:t>
      </w:r>
    </w:p>
    <w:p w14:paraId="53C55827" w14:textId="77777777" w:rsidR="007F22AD" w:rsidRPr="00F06396" w:rsidRDefault="007F22AD" w:rsidP="00125988">
      <w:pPr>
        <w:pStyle w:val="Prrafodelista"/>
        <w:spacing w:line="240" w:lineRule="auto"/>
        <w:ind w:left="1080"/>
        <w:rPr>
          <w:rFonts w:cs="Arial"/>
          <w:b/>
          <w:bCs/>
          <w:color w:val="000000"/>
          <w:sz w:val="22"/>
          <w:szCs w:val="22"/>
        </w:rPr>
      </w:pPr>
    </w:p>
    <w:p w14:paraId="54D3A8F5" w14:textId="77777777" w:rsidR="007F22AD" w:rsidRPr="00F06396" w:rsidRDefault="007F22AD" w:rsidP="00125988">
      <w:pPr>
        <w:pStyle w:val="Prrafodelista"/>
        <w:widowControl/>
        <w:numPr>
          <w:ilvl w:val="0"/>
          <w:numId w:val="35"/>
        </w:numPr>
        <w:adjustRightInd/>
        <w:spacing w:line="240" w:lineRule="auto"/>
        <w:ind w:left="-12" w:hanging="357"/>
        <w:textAlignment w:val="auto"/>
        <w:rPr>
          <w:rFonts w:cs="Arial"/>
          <w:sz w:val="22"/>
          <w:szCs w:val="22"/>
        </w:rPr>
      </w:pPr>
      <w:r w:rsidRPr="00F06396">
        <w:rPr>
          <w:rFonts w:cs="Arial"/>
          <w:color w:val="000000"/>
          <w:sz w:val="22"/>
          <w:szCs w:val="22"/>
        </w:rPr>
        <w:t>Los elementos que deben considerarse al analizar la existencia o inexistencia de incumplimiento se encuentran señalad</w:t>
      </w:r>
      <w:r w:rsidR="007F2207" w:rsidRPr="00F06396">
        <w:rPr>
          <w:rFonts w:cs="Arial"/>
          <w:color w:val="000000"/>
          <w:sz w:val="22"/>
          <w:szCs w:val="22"/>
        </w:rPr>
        <w:t>o</w:t>
      </w:r>
      <w:r w:rsidRPr="00F06396">
        <w:rPr>
          <w:rFonts w:cs="Arial"/>
          <w:color w:val="000000"/>
          <w:sz w:val="22"/>
          <w:szCs w:val="22"/>
        </w:rPr>
        <w:t>s en el artículo 21 de la Decisión 623.</w:t>
      </w:r>
    </w:p>
    <w:p w14:paraId="5705A235" w14:textId="77777777" w:rsidR="007F22AD" w:rsidRPr="00F06396" w:rsidRDefault="007F22AD" w:rsidP="00125988">
      <w:pPr>
        <w:spacing w:line="240" w:lineRule="auto"/>
        <w:ind w:left="1080"/>
        <w:rPr>
          <w:rFonts w:cs="Arial"/>
          <w:b/>
          <w:bCs/>
          <w:i/>
          <w:iCs/>
          <w:color w:val="000000"/>
          <w:sz w:val="22"/>
          <w:szCs w:val="22"/>
        </w:rPr>
      </w:pPr>
    </w:p>
    <w:p w14:paraId="0E2CB7FA" w14:textId="77777777" w:rsidR="007F22AD" w:rsidRPr="00F06396" w:rsidRDefault="007F22AD" w:rsidP="00125988">
      <w:pPr>
        <w:spacing w:line="240" w:lineRule="auto"/>
        <w:ind w:left="1080"/>
        <w:rPr>
          <w:rFonts w:cs="Arial"/>
          <w:sz w:val="22"/>
          <w:szCs w:val="22"/>
        </w:rPr>
      </w:pPr>
      <w:r w:rsidRPr="00F06396">
        <w:rPr>
          <w:rFonts w:cs="Arial"/>
          <w:b/>
          <w:bCs/>
          <w:i/>
          <w:iCs/>
          <w:color w:val="000000"/>
          <w:sz w:val="22"/>
          <w:szCs w:val="22"/>
        </w:rPr>
        <w:t xml:space="preserve">Artículo 21.- </w:t>
      </w:r>
      <w:r w:rsidRPr="00F06396">
        <w:rPr>
          <w:rFonts w:cs="Arial"/>
          <w:i/>
          <w:iCs/>
          <w:color w:val="000000"/>
          <w:sz w:val="22"/>
          <w:szCs w:val="22"/>
        </w:rPr>
        <w:t>El Dictamen de la Secretaría General deberá contener:</w:t>
      </w:r>
    </w:p>
    <w:p w14:paraId="649ABACC" w14:textId="77777777" w:rsidR="007F22AD" w:rsidRPr="00F06396" w:rsidRDefault="007F22AD" w:rsidP="00125988">
      <w:pPr>
        <w:spacing w:line="240" w:lineRule="auto"/>
        <w:ind w:left="1080"/>
        <w:rPr>
          <w:rFonts w:cs="Arial"/>
          <w:sz w:val="22"/>
          <w:szCs w:val="22"/>
        </w:rPr>
      </w:pPr>
      <w:r w:rsidRPr="00F06396">
        <w:rPr>
          <w:rFonts w:cs="Arial"/>
          <w:i/>
          <w:iCs/>
          <w:color w:val="000000"/>
          <w:sz w:val="22"/>
          <w:szCs w:val="22"/>
        </w:rPr>
        <w:t>a)</w:t>
      </w:r>
      <w:r w:rsidRPr="00F06396">
        <w:rPr>
          <w:rFonts w:cs="Arial"/>
          <w:i/>
          <w:iCs/>
          <w:color w:val="000000"/>
          <w:sz w:val="22"/>
          <w:szCs w:val="22"/>
        </w:rPr>
        <w:tab/>
        <w:t>Una relación de las actuaciones del procedimiento;</w:t>
      </w:r>
    </w:p>
    <w:p w14:paraId="1EFD212B" w14:textId="77777777" w:rsidR="007F22AD" w:rsidRPr="00F06396" w:rsidRDefault="007F22AD" w:rsidP="00125988">
      <w:pPr>
        <w:spacing w:line="240" w:lineRule="auto"/>
        <w:ind w:left="1080"/>
        <w:rPr>
          <w:rFonts w:cs="Arial"/>
          <w:sz w:val="22"/>
          <w:szCs w:val="22"/>
        </w:rPr>
      </w:pPr>
      <w:r w:rsidRPr="00F06396">
        <w:rPr>
          <w:rFonts w:cs="Arial"/>
          <w:i/>
          <w:iCs/>
          <w:color w:val="000000"/>
          <w:sz w:val="22"/>
          <w:szCs w:val="22"/>
        </w:rPr>
        <w:t>b)</w:t>
      </w:r>
      <w:r w:rsidRPr="00F06396">
        <w:rPr>
          <w:rFonts w:cs="Arial"/>
          <w:i/>
          <w:iCs/>
          <w:color w:val="000000"/>
          <w:sz w:val="22"/>
          <w:szCs w:val="22"/>
        </w:rPr>
        <w:tab/>
        <w:t>La identificación y descripción de las medidas o conductas que fueron materia del reclamo;</w:t>
      </w:r>
    </w:p>
    <w:p w14:paraId="6FEE282A" w14:textId="77777777" w:rsidR="007F22AD" w:rsidRPr="00F06396" w:rsidRDefault="007F22AD" w:rsidP="00125988">
      <w:pPr>
        <w:spacing w:line="240" w:lineRule="auto"/>
        <w:ind w:left="1080"/>
        <w:rPr>
          <w:rFonts w:cs="Arial"/>
          <w:sz w:val="22"/>
          <w:szCs w:val="22"/>
        </w:rPr>
      </w:pPr>
      <w:r w:rsidRPr="00F06396">
        <w:rPr>
          <w:rFonts w:cs="Arial"/>
          <w:i/>
          <w:iCs/>
          <w:color w:val="000000"/>
          <w:sz w:val="22"/>
          <w:szCs w:val="22"/>
        </w:rPr>
        <w:t>c)</w:t>
      </w:r>
      <w:r w:rsidRPr="00F06396">
        <w:rPr>
          <w:rFonts w:cs="Arial"/>
          <w:i/>
          <w:iCs/>
          <w:color w:val="000000"/>
          <w:sz w:val="22"/>
          <w:szCs w:val="22"/>
        </w:rPr>
        <w:tab/>
        <w:t>Una relación de los argumentos del reclamo y de la contestación;</w:t>
      </w:r>
    </w:p>
    <w:p w14:paraId="1E87C048" w14:textId="77777777" w:rsidR="007F22AD" w:rsidRPr="00F06396" w:rsidRDefault="007F22AD" w:rsidP="00125988">
      <w:pPr>
        <w:spacing w:line="240" w:lineRule="auto"/>
        <w:ind w:left="1080"/>
        <w:rPr>
          <w:rFonts w:cs="Arial"/>
          <w:sz w:val="22"/>
          <w:szCs w:val="22"/>
        </w:rPr>
      </w:pPr>
      <w:r w:rsidRPr="00F06396">
        <w:rPr>
          <w:rFonts w:cs="Arial"/>
          <w:i/>
          <w:iCs/>
          <w:color w:val="000000"/>
          <w:sz w:val="22"/>
          <w:szCs w:val="22"/>
        </w:rPr>
        <w:t>d)</w:t>
      </w:r>
      <w:r w:rsidRPr="00F06396">
        <w:rPr>
          <w:rFonts w:cs="Arial"/>
          <w:i/>
          <w:iCs/>
          <w:color w:val="000000"/>
          <w:sz w:val="22"/>
          <w:szCs w:val="22"/>
        </w:rPr>
        <w:tab/>
        <w:t>La exposición de los motivos de la Secretaría General sobre el estado de cumplimiento de las obligaciones comunitarias, sobre la base de los argumentos del reclamo y la contestación;</w:t>
      </w:r>
    </w:p>
    <w:p w14:paraId="58E848B8" w14:textId="77777777" w:rsidR="007F22AD" w:rsidRPr="00F06396" w:rsidRDefault="007F22AD" w:rsidP="00125988">
      <w:pPr>
        <w:spacing w:line="240" w:lineRule="auto"/>
        <w:ind w:left="1080"/>
        <w:rPr>
          <w:rFonts w:cs="Arial"/>
          <w:sz w:val="22"/>
          <w:szCs w:val="22"/>
        </w:rPr>
      </w:pPr>
      <w:r w:rsidRPr="00F06396">
        <w:rPr>
          <w:rFonts w:cs="Arial"/>
          <w:i/>
          <w:iCs/>
          <w:color w:val="000000"/>
          <w:sz w:val="22"/>
          <w:szCs w:val="22"/>
        </w:rPr>
        <w:lastRenderedPageBreak/>
        <w:t>e)</w:t>
      </w:r>
      <w:r w:rsidRPr="00F06396">
        <w:rPr>
          <w:rFonts w:cs="Arial"/>
          <w:i/>
          <w:iCs/>
          <w:color w:val="000000"/>
          <w:sz w:val="22"/>
          <w:szCs w:val="22"/>
        </w:rPr>
        <w:tab/>
        <w:t>La conclusión de la Secretaría General sobre el estado de cumplimiento de las obligaciones comunitarias;</w:t>
      </w:r>
    </w:p>
    <w:p w14:paraId="623AAE62" w14:textId="77777777" w:rsidR="007F22AD" w:rsidRPr="00F06396" w:rsidRDefault="007F22AD" w:rsidP="00125988">
      <w:pPr>
        <w:spacing w:line="240" w:lineRule="auto"/>
        <w:ind w:left="1080"/>
        <w:rPr>
          <w:rFonts w:cs="Arial"/>
          <w:sz w:val="22"/>
          <w:szCs w:val="22"/>
        </w:rPr>
      </w:pPr>
      <w:r w:rsidRPr="00F06396">
        <w:rPr>
          <w:rFonts w:cs="Arial"/>
          <w:i/>
          <w:iCs/>
          <w:color w:val="000000"/>
          <w:sz w:val="22"/>
          <w:szCs w:val="22"/>
        </w:rPr>
        <w:t>f)</w:t>
      </w:r>
      <w:r w:rsidRPr="00F06396">
        <w:rPr>
          <w:rFonts w:cs="Arial"/>
          <w:i/>
          <w:iCs/>
          <w:color w:val="000000"/>
          <w:sz w:val="22"/>
          <w:szCs w:val="22"/>
        </w:rPr>
        <w:tab/>
        <w:t>La indicación o sugerencia de las medidas que le parezcan más apropiadas para corregir el incumplimiento;</w:t>
      </w:r>
    </w:p>
    <w:p w14:paraId="0040C2E4" w14:textId="77777777" w:rsidR="007F22AD" w:rsidRPr="00F06396" w:rsidRDefault="007F22AD" w:rsidP="00125988">
      <w:pPr>
        <w:spacing w:line="240" w:lineRule="auto"/>
        <w:ind w:left="1080"/>
        <w:rPr>
          <w:rFonts w:cs="Arial"/>
          <w:sz w:val="22"/>
          <w:szCs w:val="22"/>
        </w:rPr>
      </w:pPr>
      <w:r w:rsidRPr="00F06396">
        <w:rPr>
          <w:rFonts w:cs="Arial"/>
          <w:i/>
          <w:iCs/>
          <w:color w:val="000000"/>
          <w:sz w:val="22"/>
          <w:szCs w:val="22"/>
        </w:rPr>
        <w:t>g)</w:t>
      </w:r>
      <w:r w:rsidRPr="00F06396">
        <w:rPr>
          <w:rFonts w:cs="Arial"/>
          <w:i/>
          <w:iCs/>
          <w:color w:val="000000"/>
          <w:sz w:val="22"/>
          <w:szCs w:val="22"/>
        </w:rPr>
        <w:tab/>
        <w:t>Cuando corresponda, la indicación de un plazo compatible con la urgencia del caso, no menor de quince (15) ni mayor de treinta (30) días, para que el País Miembro informe sobre las medidas dirigidas a corregir el incumplimiento o exprese su posición en relación con el Dictamen.</w:t>
      </w:r>
    </w:p>
    <w:p w14:paraId="4F815DC6" w14:textId="77777777" w:rsidR="00A8504B" w:rsidRPr="00F06396" w:rsidRDefault="00A8504B" w:rsidP="00125988">
      <w:pPr>
        <w:pStyle w:val="Prrafodelista"/>
        <w:spacing w:line="240" w:lineRule="auto"/>
        <w:ind w:left="1080"/>
        <w:rPr>
          <w:rFonts w:cs="Arial"/>
          <w:b/>
          <w:sz w:val="22"/>
          <w:szCs w:val="22"/>
        </w:rPr>
      </w:pPr>
    </w:p>
    <w:p w14:paraId="30F75092" w14:textId="77777777" w:rsidR="007F22AD" w:rsidRPr="00F06396" w:rsidRDefault="007F22AD" w:rsidP="00125988">
      <w:pPr>
        <w:pStyle w:val="Prrafodelista"/>
        <w:widowControl/>
        <w:numPr>
          <w:ilvl w:val="0"/>
          <w:numId w:val="34"/>
        </w:numPr>
        <w:adjustRightInd/>
        <w:spacing w:line="240" w:lineRule="auto"/>
        <w:ind w:left="0" w:hanging="426"/>
        <w:textAlignment w:val="auto"/>
        <w:rPr>
          <w:rFonts w:cs="Arial"/>
          <w:b/>
          <w:sz w:val="22"/>
          <w:szCs w:val="22"/>
        </w:rPr>
      </w:pPr>
      <w:r w:rsidRPr="00F06396">
        <w:rPr>
          <w:rFonts w:cs="Arial"/>
          <w:b/>
          <w:sz w:val="22"/>
          <w:szCs w:val="22"/>
        </w:rPr>
        <w:t>RELACIÓN DE LAS ACTUACIONES DEL PROCEDIMIENTO (ANTECEDENTES).-</w:t>
      </w:r>
    </w:p>
    <w:p w14:paraId="1ADAB886" w14:textId="77777777" w:rsidR="000E7B1C" w:rsidRPr="00F06396" w:rsidRDefault="000E7B1C" w:rsidP="00125988">
      <w:pPr>
        <w:widowControl/>
        <w:spacing w:line="240" w:lineRule="auto"/>
        <w:rPr>
          <w:rFonts w:cs="Arial"/>
          <w:sz w:val="22"/>
          <w:szCs w:val="22"/>
        </w:rPr>
      </w:pPr>
    </w:p>
    <w:p w14:paraId="53E5AB18" w14:textId="77777777" w:rsidR="00384A42" w:rsidRPr="00F06396" w:rsidRDefault="00384A42" w:rsidP="00125988">
      <w:pPr>
        <w:pStyle w:val="Prrafodelista"/>
        <w:widowControl/>
        <w:numPr>
          <w:ilvl w:val="0"/>
          <w:numId w:val="35"/>
        </w:numPr>
        <w:adjustRightInd/>
        <w:spacing w:line="240" w:lineRule="auto"/>
        <w:ind w:left="-12" w:hanging="357"/>
        <w:textAlignment w:val="auto"/>
        <w:rPr>
          <w:rFonts w:cs="Arial"/>
          <w:sz w:val="22"/>
          <w:szCs w:val="22"/>
        </w:rPr>
      </w:pPr>
      <w:r w:rsidRPr="00F06396">
        <w:rPr>
          <w:rFonts w:cs="Arial"/>
          <w:sz w:val="22"/>
          <w:szCs w:val="22"/>
        </w:rPr>
        <w:t xml:space="preserve">Con fecha </w:t>
      </w:r>
      <w:r w:rsidR="008C7796" w:rsidRPr="00F06396">
        <w:rPr>
          <w:rFonts w:cs="Arial"/>
          <w:sz w:val="22"/>
          <w:szCs w:val="22"/>
        </w:rPr>
        <w:t>0</w:t>
      </w:r>
      <w:r w:rsidRPr="00F06396">
        <w:rPr>
          <w:rFonts w:cs="Arial"/>
          <w:sz w:val="22"/>
          <w:szCs w:val="22"/>
        </w:rPr>
        <w:t xml:space="preserve">1 de </w:t>
      </w:r>
      <w:r w:rsidR="008C7796" w:rsidRPr="00F06396">
        <w:rPr>
          <w:rFonts w:cs="Arial"/>
          <w:sz w:val="22"/>
          <w:szCs w:val="22"/>
        </w:rPr>
        <w:t>dic</w:t>
      </w:r>
      <w:r w:rsidRPr="00F06396">
        <w:rPr>
          <w:rFonts w:cs="Arial"/>
          <w:sz w:val="22"/>
          <w:szCs w:val="22"/>
        </w:rPr>
        <w:t>iembre de 2014, se recib</w:t>
      </w:r>
      <w:r w:rsidR="00E62A0D" w:rsidRPr="00F06396">
        <w:rPr>
          <w:rFonts w:cs="Arial"/>
          <w:sz w:val="22"/>
          <w:szCs w:val="22"/>
        </w:rPr>
        <w:t>ió</w:t>
      </w:r>
      <w:r w:rsidRPr="00F06396">
        <w:rPr>
          <w:rFonts w:cs="Arial"/>
          <w:sz w:val="22"/>
          <w:szCs w:val="22"/>
        </w:rPr>
        <w:t xml:space="preserve"> por parte de la empresa </w:t>
      </w:r>
      <w:r w:rsidR="008C7796" w:rsidRPr="00F06396">
        <w:rPr>
          <w:rFonts w:cs="Arial"/>
          <w:sz w:val="22"/>
          <w:szCs w:val="22"/>
        </w:rPr>
        <w:t>EMBOTELLADORA RIVERA S.A.C.</w:t>
      </w:r>
      <w:r w:rsidRPr="00F06396">
        <w:rPr>
          <w:rFonts w:cs="Arial"/>
          <w:sz w:val="22"/>
          <w:szCs w:val="22"/>
        </w:rPr>
        <w:t>, el reclamo por incumplimiento señalado en el párrafo [1] del presente Dictamen.</w:t>
      </w:r>
    </w:p>
    <w:p w14:paraId="2CE19D53" w14:textId="77777777" w:rsidR="00A91F6C" w:rsidRPr="00F06396" w:rsidRDefault="00A91F6C" w:rsidP="00125988">
      <w:pPr>
        <w:pStyle w:val="Prrafodelista"/>
        <w:widowControl/>
        <w:adjustRightInd/>
        <w:spacing w:line="240" w:lineRule="auto"/>
        <w:ind w:left="-12"/>
        <w:textAlignment w:val="auto"/>
        <w:rPr>
          <w:rFonts w:cs="Arial"/>
          <w:sz w:val="22"/>
          <w:szCs w:val="22"/>
        </w:rPr>
      </w:pPr>
    </w:p>
    <w:p w14:paraId="665D3851" w14:textId="77777777" w:rsidR="00A91F6C" w:rsidRPr="00F06396" w:rsidRDefault="00A91F6C" w:rsidP="00125988">
      <w:pPr>
        <w:pStyle w:val="Prrafodelista"/>
        <w:widowControl/>
        <w:numPr>
          <w:ilvl w:val="0"/>
          <w:numId w:val="35"/>
        </w:numPr>
        <w:adjustRightInd/>
        <w:spacing w:line="240" w:lineRule="auto"/>
        <w:ind w:left="-12" w:hanging="357"/>
        <w:textAlignment w:val="auto"/>
        <w:rPr>
          <w:rFonts w:cs="Arial"/>
          <w:sz w:val="22"/>
          <w:szCs w:val="22"/>
        </w:rPr>
      </w:pPr>
      <w:r w:rsidRPr="00F06396">
        <w:rPr>
          <w:rFonts w:cs="Arial"/>
          <w:sz w:val="22"/>
          <w:szCs w:val="22"/>
        </w:rPr>
        <w:t>Mediante Nota N° SG/E/20</w:t>
      </w:r>
      <w:r w:rsidR="008C7796" w:rsidRPr="00F06396">
        <w:rPr>
          <w:rFonts w:cs="Arial"/>
          <w:sz w:val="22"/>
          <w:szCs w:val="22"/>
        </w:rPr>
        <w:t>8</w:t>
      </w:r>
      <w:r w:rsidRPr="00F06396">
        <w:rPr>
          <w:rFonts w:cs="Arial"/>
          <w:sz w:val="22"/>
          <w:szCs w:val="22"/>
        </w:rPr>
        <w:t xml:space="preserve">3/2014 de fecha </w:t>
      </w:r>
      <w:r w:rsidR="008C7796" w:rsidRPr="00F06396">
        <w:rPr>
          <w:rFonts w:cs="Arial"/>
          <w:sz w:val="22"/>
          <w:szCs w:val="22"/>
        </w:rPr>
        <w:t>1</w:t>
      </w:r>
      <w:r w:rsidRPr="00F06396">
        <w:rPr>
          <w:rFonts w:cs="Arial"/>
          <w:sz w:val="22"/>
          <w:szCs w:val="22"/>
        </w:rPr>
        <w:t>1 de diciembre de 2014, se requi</w:t>
      </w:r>
      <w:r w:rsidR="00E62A0D" w:rsidRPr="00F06396">
        <w:rPr>
          <w:rFonts w:cs="Arial"/>
          <w:sz w:val="22"/>
          <w:szCs w:val="22"/>
        </w:rPr>
        <w:t>rió</w:t>
      </w:r>
      <w:r w:rsidRPr="00F06396">
        <w:rPr>
          <w:rFonts w:cs="Arial"/>
          <w:sz w:val="22"/>
          <w:szCs w:val="22"/>
        </w:rPr>
        <w:t xml:space="preserve"> a la reclamante que cumpla con subsanar los siguientes requisitos de admisibilidad:</w:t>
      </w:r>
    </w:p>
    <w:p w14:paraId="214659FD" w14:textId="77777777" w:rsidR="00845913" w:rsidRPr="00F06396" w:rsidRDefault="00845913" w:rsidP="00125988">
      <w:pPr>
        <w:pStyle w:val="Prrafodelista"/>
        <w:spacing w:line="240" w:lineRule="auto"/>
        <w:rPr>
          <w:rFonts w:cs="Arial"/>
          <w:sz w:val="22"/>
          <w:szCs w:val="22"/>
        </w:rPr>
      </w:pPr>
    </w:p>
    <w:p w14:paraId="22F6FB3B" w14:textId="77777777" w:rsidR="003057A5" w:rsidRPr="00F06396" w:rsidRDefault="003057A5" w:rsidP="00125988">
      <w:pPr>
        <w:pStyle w:val="Prrafodelista"/>
        <w:numPr>
          <w:ilvl w:val="0"/>
          <w:numId w:val="39"/>
        </w:numPr>
        <w:spacing w:line="240" w:lineRule="auto"/>
        <w:ind w:left="1077" w:hanging="357"/>
        <w:rPr>
          <w:rFonts w:cs="Arial"/>
          <w:sz w:val="22"/>
          <w:szCs w:val="22"/>
        </w:rPr>
      </w:pPr>
      <w:r w:rsidRPr="00F06396">
        <w:rPr>
          <w:rFonts w:cs="Arial"/>
          <w:sz w:val="22"/>
          <w:szCs w:val="22"/>
        </w:rPr>
        <w:t>Poder de representación legal a favor del señor Rivera para que actúe en el procedimiento.</w:t>
      </w:r>
    </w:p>
    <w:p w14:paraId="7810C260" w14:textId="77777777" w:rsidR="003057A5" w:rsidRPr="00F06396" w:rsidRDefault="003057A5" w:rsidP="00125988">
      <w:pPr>
        <w:pStyle w:val="Prrafodelista"/>
        <w:numPr>
          <w:ilvl w:val="0"/>
          <w:numId w:val="39"/>
        </w:numPr>
        <w:spacing w:line="240" w:lineRule="auto"/>
        <w:ind w:left="1077" w:hanging="357"/>
        <w:rPr>
          <w:rFonts w:cs="Arial"/>
          <w:sz w:val="22"/>
          <w:szCs w:val="22"/>
        </w:rPr>
      </w:pPr>
      <w:r w:rsidRPr="00F06396">
        <w:rPr>
          <w:rFonts w:cs="Arial"/>
          <w:sz w:val="22"/>
          <w:szCs w:val="22"/>
        </w:rPr>
        <w:t>Presentar una declaración jurada, en el que se establezca que no se ha acudido simultáneamente y por la misma causa ante algún tribunal nacional.</w:t>
      </w:r>
    </w:p>
    <w:p w14:paraId="35FDC2B4" w14:textId="77777777" w:rsidR="003057A5" w:rsidRPr="00F06396" w:rsidRDefault="003057A5" w:rsidP="00125988">
      <w:pPr>
        <w:pStyle w:val="Prrafodelista"/>
        <w:numPr>
          <w:ilvl w:val="0"/>
          <w:numId w:val="39"/>
        </w:numPr>
        <w:spacing w:line="240" w:lineRule="auto"/>
        <w:ind w:left="1077" w:hanging="357"/>
        <w:rPr>
          <w:rFonts w:cs="Arial"/>
          <w:sz w:val="22"/>
          <w:szCs w:val="22"/>
        </w:rPr>
      </w:pPr>
      <w:r w:rsidRPr="00F06396">
        <w:rPr>
          <w:rFonts w:cs="Arial"/>
          <w:sz w:val="22"/>
          <w:szCs w:val="22"/>
        </w:rPr>
        <w:t>Identificación y descripción clara de las medidas o conductas que el reclamante considera que constituyen un incumplimiento.</w:t>
      </w:r>
    </w:p>
    <w:p w14:paraId="63234789" w14:textId="77777777" w:rsidR="00845913" w:rsidRPr="00F06396" w:rsidRDefault="003057A5" w:rsidP="00125988">
      <w:pPr>
        <w:pStyle w:val="Prrafodelista"/>
        <w:numPr>
          <w:ilvl w:val="0"/>
          <w:numId w:val="39"/>
        </w:numPr>
        <w:spacing w:line="240" w:lineRule="auto"/>
        <w:ind w:left="1077" w:hanging="357"/>
        <w:rPr>
          <w:rFonts w:cs="Arial"/>
          <w:sz w:val="22"/>
          <w:szCs w:val="22"/>
        </w:rPr>
      </w:pPr>
      <w:r w:rsidRPr="00F06396">
        <w:rPr>
          <w:rFonts w:cs="Arial"/>
          <w:sz w:val="22"/>
          <w:szCs w:val="22"/>
        </w:rPr>
        <w:t>Las razones por las cuales considera</w:t>
      </w:r>
      <w:r w:rsidR="0071705D" w:rsidRPr="00F06396">
        <w:rPr>
          <w:rFonts w:cs="Arial"/>
          <w:sz w:val="22"/>
          <w:szCs w:val="22"/>
        </w:rPr>
        <w:t xml:space="preserve"> que las medidas o conductas reclamadas constituyen un incumplimiento de las normas andinas.</w:t>
      </w:r>
    </w:p>
    <w:p w14:paraId="5B7C2BEF" w14:textId="77777777" w:rsidR="00845913" w:rsidRPr="00F06396" w:rsidRDefault="00845913" w:rsidP="00125988">
      <w:pPr>
        <w:pStyle w:val="Prrafodelista"/>
        <w:spacing w:line="240" w:lineRule="auto"/>
        <w:ind w:left="1080"/>
        <w:rPr>
          <w:rFonts w:cs="Arial"/>
          <w:sz w:val="22"/>
          <w:szCs w:val="22"/>
        </w:rPr>
      </w:pPr>
    </w:p>
    <w:p w14:paraId="45AE4F82" w14:textId="77777777" w:rsidR="00A91F6C" w:rsidRPr="00F06396" w:rsidRDefault="00A91F6C" w:rsidP="00125988">
      <w:pPr>
        <w:pStyle w:val="Prrafodelista"/>
        <w:widowControl/>
        <w:numPr>
          <w:ilvl w:val="0"/>
          <w:numId w:val="35"/>
        </w:numPr>
        <w:adjustRightInd/>
        <w:spacing w:line="240" w:lineRule="auto"/>
        <w:ind w:left="-12" w:hanging="357"/>
        <w:textAlignment w:val="auto"/>
        <w:rPr>
          <w:rFonts w:cs="Arial"/>
          <w:sz w:val="22"/>
          <w:szCs w:val="22"/>
        </w:rPr>
      </w:pPr>
      <w:r w:rsidRPr="00F06396">
        <w:rPr>
          <w:rFonts w:cs="Arial"/>
          <w:sz w:val="22"/>
          <w:szCs w:val="22"/>
        </w:rPr>
        <w:t xml:space="preserve">Con fecha </w:t>
      </w:r>
      <w:r w:rsidR="0071705D" w:rsidRPr="00F06396">
        <w:rPr>
          <w:rFonts w:cs="Arial"/>
          <w:sz w:val="22"/>
          <w:szCs w:val="22"/>
        </w:rPr>
        <w:t>18</w:t>
      </w:r>
      <w:r w:rsidRPr="00F06396">
        <w:rPr>
          <w:rFonts w:cs="Arial"/>
          <w:sz w:val="22"/>
          <w:szCs w:val="22"/>
        </w:rPr>
        <w:t xml:space="preserve"> de diciembre de 2014, la reclamante pres</w:t>
      </w:r>
      <w:r w:rsidR="00845913" w:rsidRPr="00F06396">
        <w:rPr>
          <w:rFonts w:cs="Arial"/>
          <w:sz w:val="22"/>
          <w:szCs w:val="22"/>
        </w:rPr>
        <w:t>entó un escrito mediante el cual da respuesta a la Nota N° SG/E/20</w:t>
      </w:r>
      <w:r w:rsidR="0071705D" w:rsidRPr="00F06396">
        <w:rPr>
          <w:rFonts w:cs="Arial"/>
          <w:sz w:val="22"/>
          <w:szCs w:val="22"/>
        </w:rPr>
        <w:t>8</w:t>
      </w:r>
      <w:r w:rsidR="00845913" w:rsidRPr="00F06396">
        <w:rPr>
          <w:rFonts w:cs="Arial"/>
          <w:sz w:val="22"/>
          <w:szCs w:val="22"/>
        </w:rPr>
        <w:t xml:space="preserve">3/2014 de fecha </w:t>
      </w:r>
      <w:r w:rsidR="0071705D" w:rsidRPr="00F06396">
        <w:rPr>
          <w:rFonts w:cs="Arial"/>
          <w:sz w:val="22"/>
          <w:szCs w:val="22"/>
        </w:rPr>
        <w:t>1</w:t>
      </w:r>
      <w:r w:rsidR="00845913" w:rsidRPr="00F06396">
        <w:rPr>
          <w:rFonts w:cs="Arial"/>
          <w:sz w:val="22"/>
          <w:szCs w:val="22"/>
        </w:rPr>
        <w:t>1 de diciembre de 2014.</w:t>
      </w:r>
    </w:p>
    <w:p w14:paraId="4B2D0658" w14:textId="77777777" w:rsidR="00845913" w:rsidRPr="00F06396" w:rsidRDefault="00845913" w:rsidP="00125988">
      <w:pPr>
        <w:pStyle w:val="Prrafodelista"/>
        <w:widowControl/>
        <w:adjustRightInd/>
        <w:spacing w:line="240" w:lineRule="auto"/>
        <w:ind w:left="-12"/>
        <w:textAlignment w:val="auto"/>
        <w:rPr>
          <w:rFonts w:cs="Arial"/>
          <w:sz w:val="22"/>
          <w:szCs w:val="22"/>
        </w:rPr>
      </w:pPr>
    </w:p>
    <w:p w14:paraId="195928D3" w14:textId="77777777" w:rsidR="007F2207" w:rsidRPr="00F06396" w:rsidRDefault="004738AE" w:rsidP="00A8504B">
      <w:pPr>
        <w:pStyle w:val="Prrafodelista"/>
        <w:widowControl/>
        <w:numPr>
          <w:ilvl w:val="0"/>
          <w:numId w:val="35"/>
        </w:numPr>
        <w:adjustRightInd/>
        <w:spacing w:line="240" w:lineRule="auto"/>
        <w:ind w:left="-12" w:hanging="357"/>
        <w:textAlignment w:val="auto"/>
        <w:rPr>
          <w:rFonts w:cs="Arial"/>
          <w:sz w:val="22"/>
          <w:szCs w:val="22"/>
        </w:rPr>
      </w:pPr>
      <w:r w:rsidRPr="00F06396">
        <w:rPr>
          <w:rFonts w:cs="Arial"/>
          <w:sz w:val="22"/>
          <w:szCs w:val="22"/>
        </w:rPr>
        <w:t>Mediante Nota N° SG/E/</w:t>
      </w:r>
      <w:r w:rsidR="0071705D" w:rsidRPr="00F06396">
        <w:rPr>
          <w:rFonts w:cs="Arial"/>
          <w:sz w:val="22"/>
          <w:szCs w:val="22"/>
        </w:rPr>
        <w:t>0</w:t>
      </w:r>
      <w:r w:rsidRPr="00F06396">
        <w:rPr>
          <w:rFonts w:cs="Arial"/>
          <w:sz w:val="22"/>
          <w:szCs w:val="22"/>
        </w:rPr>
        <w:t>3</w:t>
      </w:r>
      <w:r w:rsidR="0071705D" w:rsidRPr="00F06396">
        <w:rPr>
          <w:rFonts w:cs="Arial"/>
          <w:sz w:val="22"/>
          <w:szCs w:val="22"/>
        </w:rPr>
        <w:t>9</w:t>
      </w:r>
      <w:r w:rsidRPr="00F06396">
        <w:rPr>
          <w:rFonts w:cs="Arial"/>
          <w:sz w:val="22"/>
          <w:szCs w:val="22"/>
        </w:rPr>
        <w:t xml:space="preserve">/2015 de fecha </w:t>
      </w:r>
      <w:r w:rsidR="0071705D" w:rsidRPr="00F06396">
        <w:rPr>
          <w:rFonts w:cs="Arial"/>
          <w:sz w:val="22"/>
          <w:szCs w:val="22"/>
        </w:rPr>
        <w:t>15</w:t>
      </w:r>
      <w:r w:rsidRPr="00F06396">
        <w:rPr>
          <w:rFonts w:cs="Arial"/>
          <w:sz w:val="22"/>
          <w:szCs w:val="22"/>
        </w:rPr>
        <w:t xml:space="preserve"> de </w:t>
      </w:r>
      <w:r w:rsidR="0071705D" w:rsidRPr="00F06396">
        <w:rPr>
          <w:rFonts w:cs="Arial"/>
          <w:sz w:val="22"/>
          <w:szCs w:val="22"/>
        </w:rPr>
        <w:t>en</w:t>
      </w:r>
      <w:r w:rsidRPr="00F06396">
        <w:rPr>
          <w:rFonts w:cs="Arial"/>
          <w:sz w:val="22"/>
          <w:szCs w:val="22"/>
        </w:rPr>
        <w:t>ero de 2015, la Secretaría General de la Comunidad Andina determinó, luego de la evaluación</w:t>
      </w:r>
      <w:r w:rsidR="007F2207" w:rsidRPr="00F06396">
        <w:rPr>
          <w:rFonts w:cs="Arial"/>
          <w:sz w:val="22"/>
          <w:szCs w:val="22"/>
        </w:rPr>
        <w:t xml:space="preserve"> correspondiente</w:t>
      </w:r>
      <w:r w:rsidRPr="00F06396">
        <w:rPr>
          <w:rFonts w:cs="Arial"/>
          <w:sz w:val="22"/>
          <w:szCs w:val="22"/>
        </w:rPr>
        <w:t xml:space="preserve">, que la documentación </w:t>
      </w:r>
      <w:r w:rsidR="0071705D" w:rsidRPr="00F06396">
        <w:rPr>
          <w:rFonts w:cs="Arial"/>
          <w:sz w:val="22"/>
          <w:szCs w:val="22"/>
        </w:rPr>
        <w:t xml:space="preserve">presentada por la reclamante </w:t>
      </w:r>
      <w:r w:rsidRPr="00F06396">
        <w:rPr>
          <w:rFonts w:cs="Arial"/>
          <w:sz w:val="22"/>
          <w:szCs w:val="22"/>
        </w:rPr>
        <w:t xml:space="preserve">se encuentra completa y </w:t>
      </w:r>
      <w:r w:rsidR="00384A42" w:rsidRPr="00F06396">
        <w:rPr>
          <w:rFonts w:cs="Arial"/>
          <w:bCs/>
          <w:sz w:val="22"/>
          <w:szCs w:val="22"/>
        </w:rPr>
        <w:t xml:space="preserve">conforme a lo dispuesto </w:t>
      </w:r>
      <w:r w:rsidR="00E62A0D" w:rsidRPr="00F06396">
        <w:rPr>
          <w:rFonts w:cs="Arial"/>
          <w:bCs/>
          <w:sz w:val="22"/>
          <w:szCs w:val="22"/>
        </w:rPr>
        <w:t>en</w:t>
      </w:r>
      <w:r w:rsidR="00384A42" w:rsidRPr="00F06396">
        <w:rPr>
          <w:rFonts w:cs="Arial"/>
          <w:bCs/>
          <w:sz w:val="22"/>
          <w:szCs w:val="22"/>
        </w:rPr>
        <w:t xml:space="preserve"> los artículos 15 y 16 de la Decisión 623, admit</w:t>
      </w:r>
      <w:r w:rsidR="00E62A0D" w:rsidRPr="00F06396">
        <w:rPr>
          <w:rFonts w:cs="Arial"/>
          <w:bCs/>
          <w:sz w:val="22"/>
          <w:szCs w:val="22"/>
        </w:rPr>
        <w:t>ió</w:t>
      </w:r>
      <w:r w:rsidR="00384A42" w:rsidRPr="00F06396">
        <w:rPr>
          <w:rFonts w:cs="Arial"/>
          <w:bCs/>
          <w:sz w:val="22"/>
          <w:szCs w:val="22"/>
        </w:rPr>
        <w:t xml:space="preserve"> a trámite el reclamo por incumplimiento y disp</w:t>
      </w:r>
      <w:r w:rsidR="00E62A0D" w:rsidRPr="00F06396">
        <w:rPr>
          <w:rFonts w:cs="Arial"/>
          <w:bCs/>
          <w:sz w:val="22"/>
          <w:szCs w:val="22"/>
        </w:rPr>
        <w:t>uso</w:t>
      </w:r>
      <w:r w:rsidR="00384A42" w:rsidRPr="00F06396">
        <w:rPr>
          <w:rFonts w:cs="Arial"/>
          <w:bCs/>
          <w:sz w:val="22"/>
          <w:szCs w:val="22"/>
        </w:rPr>
        <w:t xml:space="preserve"> </w:t>
      </w:r>
      <w:r w:rsidR="007F2207" w:rsidRPr="00F06396">
        <w:rPr>
          <w:rFonts w:cs="Arial"/>
          <w:bCs/>
          <w:sz w:val="22"/>
          <w:szCs w:val="22"/>
        </w:rPr>
        <w:t xml:space="preserve">su </w:t>
      </w:r>
      <w:r w:rsidR="00384A42" w:rsidRPr="00F06396">
        <w:rPr>
          <w:rFonts w:cs="Arial"/>
          <w:bCs/>
          <w:sz w:val="22"/>
          <w:szCs w:val="22"/>
        </w:rPr>
        <w:t>traslado al gobierno de</w:t>
      </w:r>
      <w:r w:rsidR="0071705D" w:rsidRPr="00F06396">
        <w:rPr>
          <w:rFonts w:cs="Arial"/>
          <w:bCs/>
          <w:sz w:val="22"/>
          <w:szCs w:val="22"/>
        </w:rPr>
        <w:t>l Perú</w:t>
      </w:r>
      <w:r w:rsidR="007F2207" w:rsidRPr="00F06396">
        <w:rPr>
          <w:rFonts w:cs="Arial"/>
          <w:bCs/>
          <w:sz w:val="22"/>
          <w:szCs w:val="22"/>
        </w:rPr>
        <w:t>,</w:t>
      </w:r>
      <w:r w:rsidR="00384A42" w:rsidRPr="00F06396">
        <w:rPr>
          <w:rFonts w:cs="Arial"/>
          <w:bCs/>
          <w:sz w:val="22"/>
          <w:szCs w:val="22"/>
        </w:rPr>
        <w:t xml:space="preserve"> mediante </w:t>
      </w:r>
      <w:r w:rsidRPr="00F06396">
        <w:rPr>
          <w:rFonts w:cs="Arial"/>
          <w:bCs/>
          <w:sz w:val="22"/>
          <w:szCs w:val="22"/>
        </w:rPr>
        <w:t>N</w:t>
      </w:r>
      <w:r w:rsidR="00384A42" w:rsidRPr="00F06396">
        <w:rPr>
          <w:rFonts w:cs="Arial"/>
          <w:bCs/>
          <w:sz w:val="22"/>
          <w:szCs w:val="22"/>
        </w:rPr>
        <w:t>ota SG/E/</w:t>
      </w:r>
      <w:r w:rsidR="0071705D" w:rsidRPr="00F06396">
        <w:rPr>
          <w:rFonts w:cs="Arial"/>
          <w:bCs/>
          <w:sz w:val="22"/>
          <w:szCs w:val="22"/>
        </w:rPr>
        <w:t>040</w:t>
      </w:r>
      <w:r w:rsidR="00384A42" w:rsidRPr="00F06396">
        <w:rPr>
          <w:rFonts w:cs="Arial"/>
          <w:bCs/>
          <w:sz w:val="22"/>
          <w:szCs w:val="22"/>
        </w:rPr>
        <w:t>/201</w:t>
      </w:r>
      <w:r w:rsidRPr="00F06396">
        <w:rPr>
          <w:rFonts w:cs="Arial"/>
          <w:bCs/>
          <w:sz w:val="22"/>
          <w:szCs w:val="22"/>
        </w:rPr>
        <w:t>5</w:t>
      </w:r>
      <w:r w:rsidR="00384A42" w:rsidRPr="00F06396">
        <w:rPr>
          <w:rFonts w:cs="Arial"/>
          <w:bCs/>
          <w:sz w:val="22"/>
          <w:szCs w:val="22"/>
        </w:rPr>
        <w:t xml:space="preserve">, otorgándole un plazo de </w:t>
      </w:r>
      <w:r w:rsidR="0071705D" w:rsidRPr="00F06396">
        <w:rPr>
          <w:rFonts w:cs="Arial"/>
          <w:bCs/>
          <w:sz w:val="22"/>
          <w:szCs w:val="22"/>
        </w:rPr>
        <w:t>3</w:t>
      </w:r>
      <w:r w:rsidR="00384A42" w:rsidRPr="00F06396">
        <w:rPr>
          <w:rFonts w:cs="Arial"/>
          <w:bCs/>
          <w:sz w:val="22"/>
          <w:szCs w:val="22"/>
        </w:rPr>
        <w:t>0 días para su contestación.</w:t>
      </w:r>
      <w:r w:rsidR="00AA70AB" w:rsidRPr="00F06396">
        <w:rPr>
          <w:rFonts w:cs="Arial"/>
          <w:bCs/>
          <w:sz w:val="22"/>
          <w:szCs w:val="22"/>
        </w:rPr>
        <w:t xml:space="preserve"> Asimismo, mediante Nota SG/E/</w:t>
      </w:r>
      <w:r w:rsidR="0071705D" w:rsidRPr="00F06396">
        <w:rPr>
          <w:rFonts w:cs="Arial"/>
          <w:bCs/>
          <w:sz w:val="22"/>
          <w:szCs w:val="22"/>
        </w:rPr>
        <w:t>044</w:t>
      </w:r>
      <w:r w:rsidR="00AA70AB" w:rsidRPr="00F06396">
        <w:rPr>
          <w:rFonts w:cs="Arial"/>
          <w:bCs/>
          <w:sz w:val="22"/>
          <w:szCs w:val="22"/>
        </w:rPr>
        <w:t>/2015, la Secretaría General comunic</w:t>
      </w:r>
      <w:r w:rsidR="00E62A0D" w:rsidRPr="00F06396">
        <w:rPr>
          <w:rFonts w:cs="Arial"/>
          <w:bCs/>
          <w:sz w:val="22"/>
          <w:szCs w:val="22"/>
        </w:rPr>
        <w:t>ó</w:t>
      </w:r>
      <w:r w:rsidR="00AA70AB" w:rsidRPr="00F06396">
        <w:rPr>
          <w:rFonts w:cs="Arial"/>
          <w:bCs/>
          <w:sz w:val="22"/>
          <w:szCs w:val="22"/>
        </w:rPr>
        <w:t xml:space="preserve"> a los demás Países Miembros </w:t>
      </w:r>
      <w:r w:rsidR="007F2207" w:rsidRPr="00F06396">
        <w:rPr>
          <w:rFonts w:cs="Arial"/>
          <w:bCs/>
          <w:sz w:val="22"/>
          <w:szCs w:val="22"/>
        </w:rPr>
        <w:t xml:space="preserve">dicha reclamación </w:t>
      </w:r>
      <w:r w:rsidR="00AA70AB" w:rsidRPr="00F06396">
        <w:rPr>
          <w:rFonts w:cs="Arial"/>
          <w:bCs/>
          <w:sz w:val="22"/>
          <w:szCs w:val="22"/>
        </w:rPr>
        <w:t>a fin de que presenten los elementos</w:t>
      </w:r>
      <w:r w:rsidR="007F2207" w:rsidRPr="00F06396">
        <w:rPr>
          <w:rFonts w:cs="Arial"/>
          <w:bCs/>
          <w:sz w:val="22"/>
          <w:szCs w:val="22"/>
        </w:rPr>
        <w:t xml:space="preserve"> de información que estimaran pertinentes.</w:t>
      </w:r>
    </w:p>
    <w:p w14:paraId="0C7FEBBD" w14:textId="77777777" w:rsidR="007F2207" w:rsidRPr="00F06396" w:rsidRDefault="007F2207" w:rsidP="00CF6878">
      <w:pPr>
        <w:pStyle w:val="Prrafodelista"/>
        <w:spacing w:line="240" w:lineRule="auto"/>
        <w:rPr>
          <w:rFonts w:cs="Arial"/>
          <w:sz w:val="22"/>
          <w:szCs w:val="22"/>
        </w:rPr>
      </w:pPr>
    </w:p>
    <w:p w14:paraId="22837745" w14:textId="77777777" w:rsidR="0071705D" w:rsidRPr="00F06396" w:rsidRDefault="0071705D" w:rsidP="00CF6878">
      <w:pPr>
        <w:pStyle w:val="Prrafodelista"/>
        <w:widowControl/>
        <w:numPr>
          <w:ilvl w:val="0"/>
          <w:numId w:val="35"/>
        </w:numPr>
        <w:adjustRightInd/>
        <w:spacing w:line="240" w:lineRule="auto"/>
        <w:ind w:left="-12" w:hanging="357"/>
        <w:textAlignment w:val="auto"/>
        <w:rPr>
          <w:rFonts w:cs="Arial"/>
          <w:sz w:val="22"/>
          <w:szCs w:val="22"/>
        </w:rPr>
      </w:pPr>
      <w:r w:rsidRPr="00F06396">
        <w:rPr>
          <w:rFonts w:cs="Arial"/>
          <w:sz w:val="22"/>
          <w:szCs w:val="22"/>
        </w:rPr>
        <w:t>Con fecha 16 de enero de 2015, se recib</w:t>
      </w:r>
      <w:r w:rsidR="00E62A0D" w:rsidRPr="00F06396">
        <w:rPr>
          <w:rFonts w:cs="Arial"/>
          <w:sz w:val="22"/>
          <w:szCs w:val="22"/>
        </w:rPr>
        <w:t>ió</w:t>
      </w:r>
      <w:r w:rsidRPr="00F06396">
        <w:rPr>
          <w:rFonts w:cs="Arial"/>
          <w:sz w:val="22"/>
          <w:szCs w:val="22"/>
        </w:rPr>
        <w:t xml:space="preserve"> por parte de la empresa LOUIS DREYFUS COMMODITIES PERÚ S.R.L., el reclamo por incumplimiento señalado en el párrafo [1] del presente Dictamen.</w:t>
      </w:r>
    </w:p>
    <w:p w14:paraId="28836217" w14:textId="77777777" w:rsidR="0071705D" w:rsidRPr="00F06396" w:rsidRDefault="0071705D" w:rsidP="00CF6878">
      <w:pPr>
        <w:pStyle w:val="Prrafodelista"/>
        <w:spacing w:line="240" w:lineRule="auto"/>
        <w:rPr>
          <w:rFonts w:cs="Arial"/>
          <w:sz w:val="22"/>
          <w:szCs w:val="22"/>
        </w:rPr>
      </w:pPr>
    </w:p>
    <w:p w14:paraId="5356E5E5" w14:textId="77777777" w:rsidR="007F2207" w:rsidRPr="00F06396" w:rsidRDefault="0071705D" w:rsidP="00CF6878">
      <w:pPr>
        <w:pStyle w:val="Prrafodelista"/>
        <w:widowControl/>
        <w:numPr>
          <w:ilvl w:val="0"/>
          <w:numId w:val="35"/>
        </w:numPr>
        <w:adjustRightInd/>
        <w:spacing w:line="240" w:lineRule="auto"/>
        <w:ind w:left="-12" w:hanging="357"/>
        <w:textAlignment w:val="auto"/>
        <w:rPr>
          <w:rFonts w:cs="Arial"/>
          <w:bCs/>
          <w:sz w:val="22"/>
          <w:szCs w:val="22"/>
        </w:rPr>
      </w:pPr>
      <w:r w:rsidRPr="00F06396">
        <w:rPr>
          <w:rFonts w:cs="Arial"/>
          <w:sz w:val="22"/>
          <w:szCs w:val="22"/>
        </w:rPr>
        <w:t>Mediante Nota N° SG/E/124/2015 de fecha 26 de enero de 2015, la Secretaría General de la Comunidad Andina determinó, luego de la evaluación</w:t>
      </w:r>
      <w:r w:rsidR="007F2207" w:rsidRPr="00F06396">
        <w:rPr>
          <w:rFonts w:cs="Arial"/>
          <w:sz w:val="22"/>
          <w:szCs w:val="22"/>
        </w:rPr>
        <w:t xml:space="preserve"> correspondiente</w:t>
      </w:r>
      <w:r w:rsidRPr="00F06396">
        <w:rPr>
          <w:rFonts w:cs="Arial"/>
          <w:sz w:val="22"/>
          <w:szCs w:val="22"/>
        </w:rPr>
        <w:t xml:space="preserve">, que la documentación presentada por la reclamante se encuentra completa y </w:t>
      </w:r>
      <w:r w:rsidRPr="00F06396">
        <w:rPr>
          <w:rFonts w:cs="Arial"/>
          <w:bCs/>
          <w:sz w:val="22"/>
          <w:szCs w:val="22"/>
        </w:rPr>
        <w:t xml:space="preserve">conforme a lo dispuesto </w:t>
      </w:r>
      <w:r w:rsidR="00E62A0D" w:rsidRPr="00F06396">
        <w:rPr>
          <w:rFonts w:cs="Arial"/>
          <w:bCs/>
          <w:sz w:val="22"/>
          <w:szCs w:val="22"/>
        </w:rPr>
        <w:t>en</w:t>
      </w:r>
      <w:r w:rsidRPr="00F06396">
        <w:rPr>
          <w:rFonts w:cs="Arial"/>
          <w:bCs/>
          <w:sz w:val="22"/>
          <w:szCs w:val="22"/>
        </w:rPr>
        <w:t xml:space="preserve"> los artículos 15 y 16 de la Decisión 623, admit</w:t>
      </w:r>
      <w:r w:rsidR="00E62A0D" w:rsidRPr="00F06396">
        <w:rPr>
          <w:rFonts w:cs="Arial"/>
          <w:bCs/>
          <w:sz w:val="22"/>
          <w:szCs w:val="22"/>
        </w:rPr>
        <w:t>ió</w:t>
      </w:r>
      <w:r w:rsidRPr="00F06396">
        <w:rPr>
          <w:rFonts w:cs="Arial"/>
          <w:bCs/>
          <w:sz w:val="22"/>
          <w:szCs w:val="22"/>
        </w:rPr>
        <w:t xml:space="preserve"> a trámite el reclamo por incumplimiento y disp</w:t>
      </w:r>
      <w:r w:rsidR="00E62A0D" w:rsidRPr="00F06396">
        <w:rPr>
          <w:rFonts w:cs="Arial"/>
          <w:bCs/>
          <w:sz w:val="22"/>
          <w:szCs w:val="22"/>
        </w:rPr>
        <w:t>uso</w:t>
      </w:r>
      <w:r w:rsidRPr="00F06396">
        <w:rPr>
          <w:rFonts w:cs="Arial"/>
          <w:bCs/>
          <w:sz w:val="22"/>
          <w:szCs w:val="22"/>
        </w:rPr>
        <w:t xml:space="preserve"> </w:t>
      </w:r>
      <w:r w:rsidR="007F2207" w:rsidRPr="00F06396">
        <w:rPr>
          <w:rFonts w:cs="Arial"/>
          <w:bCs/>
          <w:sz w:val="22"/>
          <w:szCs w:val="22"/>
        </w:rPr>
        <w:t xml:space="preserve">su </w:t>
      </w:r>
      <w:r w:rsidRPr="00F06396">
        <w:rPr>
          <w:rFonts w:cs="Arial"/>
          <w:bCs/>
          <w:sz w:val="22"/>
          <w:szCs w:val="22"/>
        </w:rPr>
        <w:t>traslado al gobierno del Perú.</w:t>
      </w:r>
      <w:r w:rsidR="00A30BD7" w:rsidRPr="00F06396">
        <w:rPr>
          <w:rFonts w:cs="Arial"/>
          <w:bCs/>
          <w:sz w:val="22"/>
          <w:szCs w:val="22"/>
        </w:rPr>
        <w:t xml:space="preserve"> </w:t>
      </w:r>
    </w:p>
    <w:p w14:paraId="47BE5E5A" w14:textId="77777777" w:rsidR="007F2207" w:rsidRPr="00F06396" w:rsidRDefault="007F2207" w:rsidP="00CF6878">
      <w:pPr>
        <w:pStyle w:val="Prrafodelista"/>
        <w:spacing w:line="240" w:lineRule="auto"/>
        <w:rPr>
          <w:rFonts w:cs="Arial"/>
          <w:bCs/>
          <w:sz w:val="22"/>
          <w:szCs w:val="22"/>
        </w:rPr>
      </w:pPr>
    </w:p>
    <w:p w14:paraId="6D368C91" w14:textId="77777777" w:rsidR="0071705D" w:rsidRPr="00F06396" w:rsidRDefault="00A30BD7" w:rsidP="00CF6878">
      <w:pPr>
        <w:pStyle w:val="Prrafodelista"/>
        <w:widowControl/>
        <w:numPr>
          <w:ilvl w:val="0"/>
          <w:numId w:val="35"/>
        </w:numPr>
        <w:adjustRightInd/>
        <w:spacing w:line="240" w:lineRule="auto"/>
        <w:ind w:left="-12" w:hanging="357"/>
        <w:textAlignment w:val="auto"/>
        <w:rPr>
          <w:rFonts w:cs="Arial"/>
          <w:sz w:val="22"/>
          <w:szCs w:val="22"/>
        </w:rPr>
      </w:pPr>
      <w:r w:rsidRPr="00F06396">
        <w:rPr>
          <w:rFonts w:cs="Arial"/>
          <w:bCs/>
          <w:sz w:val="22"/>
          <w:szCs w:val="22"/>
        </w:rPr>
        <w:t xml:space="preserve">En la misma fecha, mediante Nota SG/E/123/2015, </w:t>
      </w:r>
      <w:r w:rsidR="007F2207" w:rsidRPr="00F06396">
        <w:rPr>
          <w:rFonts w:cs="Arial"/>
          <w:bCs/>
          <w:sz w:val="22"/>
          <w:szCs w:val="22"/>
        </w:rPr>
        <w:t>se</w:t>
      </w:r>
      <w:r w:rsidRPr="00F06396">
        <w:rPr>
          <w:rFonts w:cs="Arial"/>
          <w:bCs/>
          <w:sz w:val="22"/>
          <w:szCs w:val="22"/>
        </w:rPr>
        <w:t xml:space="preserve"> comunic</w:t>
      </w:r>
      <w:r w:rsidR="00E62A0D" w:rsidRPr="00F06396">
        <w:rPr>
          <w:rFonts w:cs="Arial"/>
          <w:bCs/>
          <w:sz w:val="22"/>
          <w:szCs w:val="22"/>
        </w:rPr>
        <w:t>ó</w:t>
      </w:r>
      <w:r w:rsidRPr="00F06396">
        <w:rPr>
          <w:rFonts w:cs="Arial"/>
          <w:bCs/>
          <w:sz w:val="22"/>
          <w:szCs w:val="22"/>
        </w:rPr>
        <w:t xml:space="preserve"> al Gobierno del Perú el inicio del trámite correspondiente otorgándole un plazo de 30 días para su contestación. Asimismo, mediante Nota</w:t>
      </w:r>
      <w:r w:rsidR="007F2207" w:rsidRPr="00F06396">
        <w:rPr>
          <w:rFonts w:cs="Arial"/>
          <w:bCs/>
          <w:sz w:val="22"/>
          <w:szCs w:val="22"/>
        </w:rPr>
        <w:t>s</w:t>
      </w:r>
      <w:r w:rsidRPr="00F06396">
        <w:rPr>
          <w:rFonts w:cs="Arial"/>
          <w:bCs/>
          <w:sz w:val="22"/>
          <w:szCs w:val="22"/>
        </w:rPr>
        <w:t xml:space="preserve"> SG/E/120/2015, SG/E/121/2015 y SG/E/122/2015, </w:t>
      </w:r>
      <w:r w:rsidR="007F2207" w:rsidRPr="00F06396">
        <w:rPr>
          <w:rFonts w:cs="Arial"/>
          <w:bCs/>
          <w:sz w:val="22"/>
          <w:szCs w:val="22"/>
        </w:rPr>
        <w:t>se</w:t>
      </w:r>
      <w:r w:rsidRPr="00F06396">
        <w:rPr>
          <w:rFonts w:cs="Arial"/>
          <w:bCs/>
          <w:sz w:val="22"/>
          <w:szCs w:val="22"/>
        </w:rPr>
        <w:t xml:space="preserve"> comunic</w:t>
      </w:r>
      <w:r w:rsidR="00E62A0D" w:rsidRPr="00F06396">
        <w:rPr>
          <w:rFonts w:cs="Arial"/>
          <w:bCs/>
          <w:sz w:val="22"/>
          <w:szCs w:val="22"/>
        </w:rPr>
        <w:t>ó</w:t>
      </w:r>
      <w:r w:rsidRPr="00F06396">
        <w:rPr>
          <w:rFonts w:cs="Arial"/>
          <w:bCs/>
          <w:sz w:val="22"/>
          <w:szCs w:val="22"/>
        </w:rPr>
        <w:t xml:space="preserve"> </w:t>
      </w:r>
      <w:r w:rsidR="006104FD" w:rsidRPr="00F06396">
        <w:rPr>
          <w:rFonts w:cs="Arial"/>
          <w:bCs/>
          <w:sz w:val="22"/>
          <w:szCs w:val="22"/>
        </w:rPr>
        <w:t xml:space="preserve">el inicio del referido trámite </w:t>
      </w:r>
      <w:r w:rsidRPr="00F06396">
        <w:rPr>
          <w:rFonts w:cs="Arial"/>
          <w:bCs/>
          <w:sz w:val="22"/>
          <w:szCs w:val="22"/>
        </w:rPr>
        <w:t>a los demás Países Miembros a fin de que presenten los elementos</w:t>
      </w:r>
      <w:r w:rsidR="007F2207" w:rsidRPr="00F06396">
        <w:rPr>
          <w:rFonts w:cs="Arial"/>
          <w:bCs/>
          <w:sz w:val="22"/>
          <w:szCs w:val="22"/>
        </w:rPr>
        <w:t xml:space="preserve"> de información que estimaran pertinentes</w:t>
      </w:r>
      <w:r w:rsidRPr="00F06396">
        <w:rPr>
          <w:rFonts w:cs="Arial"/>
          <w:bCs/>
          <w:sz w:val="22"/>
          <w:szCs w:val="22"/>
        </w:rPr>
        <w:t>.</w:t>
      </w:r>
    </w:p>
    <w:p w14:paraId="60BB89C4" w14:textId="77777777" w:rsidR="007F2207" w:rsidRPr="00F06396" w:rsidRDefault="007F2207" w:rsidP="00CF6878">
      <w:pPr>
        <w:pStyle w:val="Prrafodelista"/>
        <w:spacing w:line="240" w:lineRule="auto"/>
        <w:rPr>
          <w:rFonts w:cs="Arial"/>
          <w:sz w:val="22"/>
          <w:szCs w:val="22"/>
        </w:rPr>
      </w:pPr>
    </w:p>
    <w:p w14:paraId="15A0FE0C" w14:textId="77777777" w:rsidR="007F2207" w:rsidRPr="00F06396" w:rsidRDefault="007F2207" w:rsidP="00CF6878">
      <w:pPr>
        <w:pStyle w:val="Prrafodelista"/>
        <w:widowControl/>
        <w:numPr>
          <w:ilvl w:val="0"/>
          <w:numId w:val="35"/>
        </w:numPr>
        <w:adjustRightInd/>
        <w:spacing w:line="240" w:lineRule="auto"/>
        <w:ind w:left="-12" w:hanging="357"/>
        <w:textAlignment w:val="auto"/>
        <w:rPr>
          <w:rFonts w:cs="Arial"/>
          <w:sz w:val="22"/>
          <w:szCs w:val="22"/>
        </w:rPr>
      </w:pPr>
      <w:r w:rsidRPr="00F06396">
        <w:rPr>
          <w:rFonts w:cs="Arial"/>
          <w:bCs/>
          <w:sz w:val="22"/>
          <w:szCs w:val="22"/>
        </w:rPr>
        <w:lastRenderedPageBreak/>
        <w:t xml:space="preserve">En consideración a la identidad de causa y economía procesal, se dispuso, asimismo, acumular los procedimientos iniciados por las </w:t>
      </w:r>
      <w:r w:rsidRPr="00F06396">
        <w:rPr>
          <w:rFonts w:cs="Arial"/>
          <w:sz w:val="22"/>
          <w:szCs w:val="22"/>
        </w:rPr>
        <w:t>empresas EMBOTELLADORA RIVERA S.A.C. y LOUIS DREYFUS COMMODITIES PERÚ S.R.L.</w:t>
      </w:r>
      <w:r w:rsidRPr="00F06396">
        <w:rPr>
          <w:rFonts w:cs="Arial"/>
          <w:color w:val="000000"/>
          <w:sz w:val="22"/>
          <w:szCs w:val="22"/>
          <w:lang w:eastAsia="es-ES"/>
        </w:rPr>
        <w:t xml:space="preserve"> </w:t>
      </w:r>
      <w:r w:rsidRPr="00F06396">
        <w:rPr>
          <w:rFonts w:cs="Arial"/>
          <w:bCs/>
          <w:sz w:val="22"/>
          <w:szCs w:val="22"/>
        </w:rPr>
        <w:t>y se citó a las partes a una reunión informativa.</w:t>
      </w:r>
    </w:p>
    <w:p w14:paraId="5C3EBDAB" w14:textId="77777777" w:rsidR="00A8504B" w:rsidRDefault="00A8504B" w:rsidP="00125988">
      <w:pPr>
        <w:pStyle w:val="Prrafodelista"/>
        <w:spacing w:line="240" w:lineRule="auto"/>
        <w:rPr>
          <w:rFonts w:cs="Arial"/>
          <w:sz w:val="22"/>
          <w:szCs w:val="22"/>
        </w:rPr>
      </w:pPr>
    </w:p>
    <w:p w14:paraId="6DFF2282" w14:textId="77777777" w:rsidR="00756F20" w:rsidRPr="00F06396" w:rsidRDefault="00756F20" w:rsidP="00A8504B">
      <w:pPr>
        <w:pStyle w:val="Prrafodelista"/>
        <w:widowControl/>
        <w:numPr>
          <w:ilvl w:val="0"/>
          <w:numId w:val="35"/>
        </w:numPr>
        <w:adjustRightInd/>
        <w:spacing w:line="240" w:lineRule="auto"/>
        <w:ind w:left="-12" w:hanging="357"/>
        <w:textAlignment w:val="auto"/>
        <w:rPr>
          <w:rFonts w:cs="Arial"/>
          <w:sz w:val="22"/>
          <w:szCs w:val="22"/>
        </w:rPr>
      </w:pPr>
      <w:r w:rsidRPr="00F06396">
        <w:rPr>
          <w:rFonts w:cs="Arial"/>
          <w:sz w:val="22"/>
          <w:szCs w:val="22"/>
        </w:rPr>
        <w:t xml:space="preserve">Mediante </w:t>
      </w:r>
      <w:r w:rsidRPr="00F06396">
        <w:rPr>
          <w:rFonts w:cs="Arial"/>
          <w:bCs/>
          <w:sz w:val="22"/>
          <w:szCs w:val="22"/>
        </w:rPr>
        <w:t xml:space="preserve">Facsímil N° 113-2015-MINCETUR/VMCE/DNINCI, </w:t>
      </w:r>
      <w:r w:rsidRPr="00F06396">
        <w:rPr>
          <w:rFonts w:cs="Arial"/>
          <w:sz w:val="22"/>
          <w:szCs w:val="22"/>
        </w:rPr>
        <w:t xml:space="preserve">el gobierno del Perú, solicitó </w:t>
      </w:r>
      <w:r w:rsidR="007F2207" w:rsidRPr="00F06396">
        <w:rPr>
          <w:rFonts w:cs="Arial"/>
          <w:sz w:val="22"/>
          <w:szCs w:val="22"/>
        </w:rPr>
        <w:t xml:space="preserve">la </w:t>
      </w:r>
      <w:r w:rsidRPr="00F06396">
        <w:rPr>
          <w:rFonts w:cs="Arial"/>
          <w:sz w:val="22"/>
          <w:szCs w:val="22"/>
        </w:rPr>
        <w:t xml:space="preserve">prórroga </w:t>
      </w:r>
      <w:r w:rsidR="007F2207" w:rsidRPr="00F06396">
        <w:rPr>
          <w:rFonts w:cs="Arial"/>
          <w:sz w:val="22"/>
          <w:szCs w:val="22"/>
        </w:rPr>
        <w:t>de</w:t>
      </w:r>
      <w:r w:rsidRPr="00F06396">
        <w:rPr>
          <w:rFonts w:cs="Arial"/>
          <w:sz w:val="22"/>
          <w:szCs w:val="22"/>
        </w:rPr>
        <w:t>l plazo para presentar su contestación</w:t>
      </w:r>
      <w:r w:rsidR="007F2207" w:rsidRPr="00F06396">
        <w:rPr>
          <w:rFonts w:cs="Arial"/>
          <w:sz w:val="22"/>
          <w:szCs w:val="22"/>
        </w:rPr>
        <w:t>, la que le fue concedida el</w:t>
      </w:r>
      <w:r w:rsidRPr="00F06396">
        <w:rPr>
          <w:rFonts w:cs="Arial"/>
          <w:sz w:val="22"/>
          <w:szCs w:val="22"/>
        </w:rPr>
        <w:t xml:space="preserve"> 13 de febrero de 2015, mediante Nota SG/E/292/2015.</w:t>
      </w:r>
    </w:p>
    <w:p w14:paraId="6FDBC9D0" w14:textId="77777777" w:rsidR="00756F20" w:rsidRPr="00F06396" w:rsidRDefault="00756F20" w:rsidP="00A8504B">
      <w:pPr>
        <w:pStyle w:val="Prrafodelista"/>
        <w:spacing w:line="240" w:lineRule="auto"/>
        <w:rPr>
          <w:rFonts w:cs="Arial"/>
          <w:sz w:val="22"/>
          <w:szCs w:val="22"/>
        </w:rPr>
      </w:pPr>
    </w:p>
    <w:p w14:paraId="5DDA22AD" w14:textId="77777777" w:rsidR="00756F20" w:rsidRPr="00F06396" w:rsidRDefault="00756F20" w:rsidP="00A8504B">
      <w:pPr>
        <w:pStyle w:val="Prrafodelista"/>
        <w:widowControl/>
        <w:numPr>
          <w:ilvl w:val="0"/>
          <w:numId w:val="35"/>
        </w:numPr>
        <w:adjustRightInd/>
        <w:spacing w:line="240" w:lineRule="auto"/>
        <w:ind w:left="-12" w:hanging="357"/>
        <w:textAlignment w:val="auto"/>
        <w:rPr>
          <w:rFonts w:cs="Arial"/>
          <w:sz w:val="22"/>
          <w:szCs w:val="22"/>
        </w:rPr>
      </w:pPr>
      <w:r w:rsidRPr="00F06396">
        <w:rPr>
          <w:rFonts w:cs="Arial"/>
          <w:sz w:val="22"/>
          <w:szCs w:val="22"/>
        </w:rPr>
        <w:t>Con fecha 02 de marzo de 2015, se llevó a cabo la reunión informativa con la participación de las partes en la controversia.</w:t>
      </w:r>
    </w:p>
    <w:p w14:paraId="14713944" w14:textId="77777777" w:rsidR="0071705D" w:rsidRPr="00F06396" w:rsidRDefault="0071705D" w:rsidP="00A8504B">
      <w:pPr>
        <w:pStyle w:val="Prrafodelista"/>
        <w:widowControl/>
        <w:adjustRightInd/>
        <w:spacing w:line="240" w:lineRule="auto"/>
        <w:ind w:left="-12"/>
        <w:textAlignment w:val="auto"/>
        <w:rPr>
          <w:rFonts w:cs="Arial"/>
          <w:sz w:val="22"/>
          <w:szCs w:val="22"/>
        </w:rPr>
      </w:pPr>
    </w:p>
    <w:p w14:paraId="56AEA730" w14:textId="77777777" w:rsidR="00384A42" w:rsidRPr="00F06396" w:rsidRDefault="00384A42" w:rsidP="00A8504B">
      <w:pPr>
        <w:pStyle w:val="Prrafodelista"/>
        <w:widowControl/>
        <w:numPr>
          <w:ilvl w:val="0"/>
          <w:numId w:val="35"/>
        </w:numPr>
        <w:adjustRightInd/>
        <w:spacing w:line="240" w:lineRule="auto"/>
        <w:ind w:left="-12" w:hanging="357"/>
        <w:textAlignment w:val="auto"/>
        <w:rPr>
          <w:rFonts w:cs="Arial"/>
          <w:sz w:val="22"/>
          <w:szCs w:val="22"/>
        </w:rPr>
      </w:pPr>
      <w:r w:rsidRPr="00F06396">
        <w:rPr>
          <w:rFonts w:cs="Arial"/>
          <w:bCs/>
          <w:sz w:val="22"/>
          <w:szCs w:val="22"/>
        </w:rPr>
        <w:t>Con fecha 1</w:t>
      </w:r>
      <w:r w:rsidR="00756F20" w:rsidRPr="00F06396">
        <w:rPr>
          <w:rFonts w:cs="Arial"/>
          <w:bCs/>
          <w:sz w:val="22"/>
          <w:szCs w:val="22"/>
        </w:rPr>
        <w:t>7</w:t>
      </w:r>
      <w:r w:rsidRPr="00F06396">
        <w:rPr>
          <w:rFonts w:cs="Arial"/>
          <w:bCs/>
          <w:sz w:val="22"/>
          <w:szCs w:val="22"/>
        </w:rPr>
        <w:t xml:space="preserve"> de </w:t>
      </w:r>
      <w:r w:rsidR="00756F20" w:rsidRPr="00F06396">
        <w:rPr>
          <w:rFonts w:cs="Arial"/>
          <w:bCs/>
          <w:sz w:val="22"/>
          <w:szCs w:val="22"/>
        </w:rPr>
        <w:t>marz</w:t>
      </w:r>
      <w:r w:rsidR="00AA70AB" w:rsidRPr="00F06396">
        <w:rPr>
          <w:rFonts w:cs="Arial"/>
          <w:bCs/>
          <w:sz w:val="22"/>
          <w:szCs w:val="22"/>
        </w:rPr>
        <w:t>o</w:t>
      </w:r>
      <w:r w:rsidRPr="00F06396">
        <w:rPr>
          <w:rFonts w:cs="Arial"/>
          <w:bCs/>
          <w:sz w:val="22"/>
          <w:szCs w:val="22"/>
        </w:rPr>
        <w:t xml:space="preserve"> de 201</w:t>
      </w:r>
      <w:r w:rsidR="00AA70AB" w:rsidRPr="00F06396">
        <w:rPr>
          <w:rFonts w:cs="Arial"/>
          <w:bCs/>
          <w:sz w:val="22"/>
          <w:szCs w:val="22"/>
        </w:rPr>
        <w:t>5</w:t>
      </w:r>
      <w:r w:rsidRPr="00F06396">
        <w:rPr>
          <w:rFonts w:cs="Arial"/>
          <w:bCs/>
          <w:sz w:val="22"/>
          <w:szCs w:val="22"/>
        </w:rPr>
        <w:t xml:space="preserve">, mediante </w:t>
      </w:r>
      <w:r w:rsidR="00756F20" w:rsidRPr="00F06396">
        <w:rPr>
          <w:rFonts w:cs="Arial"/>
          <w:bCs/>
          <w:sz w:val="22"/>
          <w:szCs w:val="22"/>
        </w:rPr>
        <w:t>Facsímil</w:t>
      </w:r>
      <w:r w:rsidRPr="00F06396">
        <w:rPr>
          <w:rFonts w:cs="Arial"/>
          <w:bCs/>
          <w:sz w:val="22"/>
          <w:szCs w:val="22"/>
        </w:rPr>
        <w:t xml:space="preserve"> </w:t>
      </w:r>
      <w:r w:rsidR="00756F20" w:rsidRPr="00F06396">
        <w:rPr>
          <w:rFonts w:cs="Arial"/>
          <w:bCs/>
          <w:sz w:val="22"/>
          <w:szCs w:val="22"/>
        </w:rPr>
        <w:t xml:space="preserve">N° </w:t>
      </w:r>
      <w:r w:rsidR="00AA70AB" w:rsidRPr="00F06396">
        <w:rPr>
          <w:rFonts w:cs="Arial"/>
          <w:bCs/>
          <w:sz w:val="22"/>
          <w:szCs w:val="22"/>
        </w:rPr>
        <w:t>2</w:t>
      </w:r>
      <w:r w:rsidR="00756F20" w:rsidRPr="00F06396">
        <w:rPr>
          <w:rFonts w:cs="Arial"/>
          <w:bCs/>
          <w:sz w:val="22"/>
          <w:szCs w:val="22"/>
        </w:rPr>
        <w:t>01-2015-MINCETUR/VMCE/DNINCI</w:t>
      </w:r>
      <w:r w:rsidRPr="00F06396">
        <w:rPr>
          <w:rFonts w:cs="Arial"/>
          <w:bCs/>
          <w:sz w:val="22"/>
          <w:szCs w:val="22"/>
        </w:rPr>
        <w:t xml:space="preserve">, </w:t>
      </w:r>
      <w:r w:rsidRPr="00F06396">
        <w:rPr>
          <w:rFonts w:cs="Arial"/>
          <w:sz w:val="22"/>
          <w:szCs w:val="22"/>
        </w:rPr>
        <w:t>el gobierno de</w:t>
      </w:r>
      <w:r w:rsidR="00756F20" w:rsidRPr="00F06396">
        <w:rPr>
          <w:rFonts w:cs="Arial"/>
          <w:sz w:val="22"/>
          <w:szCs w:val="22"/>
        </w:rPr>
        <w:t>l Perú</w:t>
      </w:r>
      <w:r w:rsidRPr="00F06396">
        <w:rPr>
          <w:rFonts w:cs="Arial"/>
          <w:sz w:val="22"/>
          <w:szCs w:val="22"/>
        </w:rPr>
        <w:t xml:space="preserve"> presentó su contestación al reclamo.</w:t>
      </w:r>
    </w:p>
    <w:p w14:paraId="0550D334" w14:textId="77777777" w:rsidR="00352368" w:rsidRPr="00F06396" w:rsidRDefault="00352368" w:rsidP="00A8504B">
      <w:pPr>
        <w:pStyle w:val="Prrafodelista"/>
        <w:spacing w:line="240" w:lineRule="auto"/>
        <w:rPr>
          <w:rFonts w:cs="Arial"/>
          <w:sz w:val="22"/>
          <w:szCs w:val="22"/>
        </w:rPr>
      </w:pPr>
    </w:p>
    <w:p w14:paraId="08C3218C" w14:textId="77777777" w:rsidR="00352368" w:rsidRPr="00F06396" w:rsidRDefault="00352368" w:rsidP="00A8504B">
      <w:pPr>
        <w:pStyle w:val="Prrafodelista"/>
        <w:widowControl/>
        <w:numPr>
          <w:ilvl w:val="0"/>
          <w:numId w:val="35"/>
        </w:numPr>
        <w:adjustRightInd/>
        <w:spacing w:line="240" w:lineRule="auto"/>
        <w:ind w:left="-12" w:hanging="357"/>
        <w:textAlignment w:val="auto"/>
        <w:rPr>
          <w:rFonts w:cs="Arial"/>
          <w:sz w:val="22"/>
          <w:szCs w:val="22"/>
        </w:rPr>
      </w:pPr>
      <w:r w:rsidRPr="00F06396">
        <w:rPr>
          <w:rFonts w:cs="Arial"/>
          <w:bCs/>
          <w:sz w:val="22"/>
          <w:szCs w:val="22"/>
        </w:rPr>
        <w:t xml:space="preserve">Con fecha 07 de abril de 2015, la empresa Embotelladora Rivera S.A.C. </w:t>
      </w:r>
      <w:r w:rsidRPr="00F06396">
        <w:rPr>
          <w:rFonts w:cs="Arial"/>
          <w:sz w:val="22"/>
          <w:szCs w:val="22"/>
        </w:rPr>
        <w:t>presentó un escrito mediante la cual señaló algunas precisiones sobre la contestación remitida por el gobierno del Perú.</w:t>
      </w:r>
    </w:p>
    <w:p w14:paraId="40EABF6B" w14:textId="77777777" w:rsidR="009C10E1" w:rsidRPr="00F06396" w:rsidRDefault="009C10E1" w:rsidP="00A8504B">
      <w:pPr>
        <w:pStyle w:val="Prrafodelista"/>
        <w:spacing w:line="240" w:lineRule="auto"/>
        <w:rPr>
          <w:rFonts w:cs="Arial"/>
          <w:sz w:val="22"/>
          <w:szCs w:val="22"/>
        </w:rPr>
      </w:pPr>
    </w:p>
    <w:p w14:paraId="08BE3142" w14:textId="77777777" w:rsidR="009C10E1" w:rsidRPr="00F06396" w:rsidRDefault="009C10E1" w:rsidP="00A8504B">
      <w:pPr>
        <w:pStyle w:val="Prrafodelista"/>
        <w:widowControl/>
        <w:numPr>
          <w:ilvl w:val="0"/>
          <w:numId w:val="34"/>
        </w:numPr>
        <w:adjustRightInd/>
        <w:spacing w:line="240" w:lineRule="auto"/>
        <w:ind w:left="0" w:hanging="426"/>
        <w:textAlignment w:val="auto"/>
        <w:rPr>
          <w:rFonts w:cs="Arial"/>
          <w:b/>
          <w:sz w:val="22"/>
          <w:szCs w:val="22"/>
        </w:rPr>
      </w:pPr>
      <w:r w:rsidRPr="00F06396">
        <w:rPr>
          <w:rFonts w:cs="Arial"/>
          <w:b/>
          <w:sz w:val="22"/>
          <w:szCs w:val="22"/>
        </w:rPr>
        <w:t>IDENTIFICACIÓN DE LAS MEDIDAS SUPUESTAMENTE INFRACTORAS</w:t>
      </w:r>
    </w:p>
    <w:p w14:paraId="03746C19" w14:textId="77777777" w:rsidR="009C10E1" w:rsidRPr="00F06396" w:rsidRDefault="009C10E1" w:rsidP="00A8504B">
      <w:pPr>
        <w:pStyle w:val="Prrafodelista"/>
        <w:spacing w:line="240" w:lineRule="auto"/>
        <w:ind w:left="1080"/>
        <w:rPr>
          <w:rFonts w:cs="Arial"/>
          <w:b/>
          <w:sz w:val="22"/>
          <w:szCs w:val="22"/>
        </w:rPr>
      </w:pPr>
    </w:p>
    <w:p w14:paraId="2463BAA0" w14:textId="77777777" w:rsidR="00920C93" w:rsidRPr="00F06396" w:rsidRDefault="009C10E1" w:rsidP="00A8504B">
      <w:pPr>
        <w:pStyle w:val="Prrafodelista"/>
        <w:widowControl/>
        <w:numPr>
          <w:ilvl w:val="0"/>
          <w:numId w:val="35"/>
        </w:numPr>
        <w:adjustRightInd/>
        <w:spacing w:line="240" w:lineRule="auto"/>
        <w:ind w:left="-12" w:hanging="357"/>
        <w:textAlignment w:val="auto"/>
        <w:rPr>
          <w:rFonts w:cs="Arial"/>
          <w:sz w:val="22"/>
          <w:szCs w:val="22"/>
        </w:rPr>
      </w:pPr>
      <w:r w:rsidRPr="00F06396">
        <w:rPr>
          <w:rFonts w:cs="Arial"/>
          <w:sz w:val="22"/>
          <w:szCs w:val="22"/>
        </w:rPr>
        <w:t xml:space="preserve">La reclamación versa sobre </w:t>
      </w:r>
      <w:r w:rsidR="00244A14" w:rsidRPr="00F06396">
        <w:rPr>
          <w:rFonts w:cs="Arial"/>
          <w:sz w:val="22"/>
          <w:szCs w:val="22"/>
        </w:rPr>
        <w:t xml:space="preserve">el </w:t>
      </w:r>
      <w:r w:rsidR="007F2207" w:rsidRPr="00F06396">
        <w:rPr>
          <w:rFonts w:cs="Arial"/>
          <w:sz w:val="22"/>
          <w:szCs w:val="22"/>
        </w:rPr>
        <w:t xml:space="preserve">presunto </w:t>
      </w:r>
      <w:r w:rsidR="00920C93" w:rsidRPr="00F06396">
        <w:rPr>
          <w:rFonts w:cs="Arial"/>
          <w:sz w:val="22"/>
          <w:szCs w:val="22"/>
        </w:rPr>
        <w:t>incumplimiento de lo dispuesto en el artículo 139 del Acuerdo de Cartagena y la Decisión 416 Normas Especiales para la Calificación y Certificación del Origen de las Mercancías, por parte de la República del Perú a través de la Superintendencia Nacional de Aduanas y de Administración Tributaria – SUNAT y el Tribunal Fiscal, al haber</w:t>
      </w:r>
      <w:r w:rsidR="006104FD" w:rsidRPr="00F06396">
        <w:rPr>
          <w:rFonts w:cs="Arial"/>
          <w:sz w:val="22"/>
          <w:szCs w:val="22"/>
        </w:rPr>
        <w:t>se</w:t>
      </w:r>
      <w:r w:rsidR="00920C93" w:rsidRPr="00F06396">
        <w:rPr>
          <w:rFonts w:cs="Arial"/>
          <w:sz w:val="22"/>
          <w:szCs w:val="22"/>
        </w:rPr>
        <w:t xml:space="preserve"> exigido requisitos adicionales en los certificados de origen y no haber</w:t>
      </w:r>
      <w:r w:rsidR="006104FD" w:rsidRPr="00F06396">
        <w:rPr>
          <w:rFonts w:cs="Arial"/>
          <w:sz w:val="22"/>
          <w:szCs w:val="22"/>
        </w:rPr>
        <w:t>se</w:t>
      </w:r>
      <w:r w:rsidR="00920C93" w:rsidRPr="00F06396">
        <w:rPr>
          <w:rFonts w:cs="Arial"/>
          <w:sz w:val="22"/>
          <w:szCs w:val="22"/>
        </w:rPr>
        <w:t xml:space="preserve"> aplicado la Cláusula de Nación Más Favorecida.</w:t>
      </w:r>
    </w:p>
    <w:p w14:paraId="20FB40CD" w14:textId="77777777" w:rsidR="0097045D" w:rsidRPr="00F06396" w:rsidRDefault="0097045D" w:rsidP="00A8504B">
      <w:pPr>
        <w:spacing w:line="240" w:lineRule="auto"/>
        <w:rPr>
          <w:rFonts w:cs="Arial"/>
          <w:sz w:val="22"/>
          <w:szCs w:val="22"/>
        </w:rPr>
      </w:pPr>
    </w:p>
    <w:p w14:paraId="61F1C68C" w14:textId="77777777" w:rsidR="009C10E1" w:rsidRPr="00F06396" w:rsidRDefault="009C10E1" w:rsidP="00A8504B">
      <w:pPr>
        <w:pStyle w:val="Prrafodelista"/>
        <w:widowControl/>
        <w:numPr>
          <w:ilvl w:val="0"/>
          <w:numId w:val="34"/>
        </w:numPr>
        <w:adjustRightInd/>
        <w:spacing w:line="240" w:lineRule="auto"/>
        <w:ind w:left="0" w:hanging="426"/>
        <w:textAlignment w:val="auto"/>
        <w:rPr>
          <w:rFonts w:cs="Arial"/>
          <w:b/>
          <w:sz w:val="22"/>
          <w:szCs w:val="22"/>
        </w:rPr>
      </w:pPr>
      <w:r w:rsidRPr="00F06396">
        <w:rPr>
          <w:rFonts w:cs="Arial"/>
          <w:b/>
          <w:sz w:val="22"/>
          <w:szCs w:val="22"/>
        </w:rPr>
        <w:t>RELACIÓN DE LOS ARGUMENTOS DEL RECLAMO Y DE LA CONTESTACIÓN</w:t>
      </w:r>
    </w:p>
    <w:p w14:paraId="135ACD0B" w14:textId="77777777" w:rsidR="009C10E1" w:rsidRPr="00F06396" w:rsidRDefault="009C10E1" w:rsidP="00A8504B">
      <w:pPr>
        <w:spacing w:line="240" w:lineRule="auto"/>
        <w:rPr>
          <w:rFonts w:cs="Arial"/>
          <w:sz w:val="22"/>
          <w:szCs w:val="22"/>
        </w:rPr>
      </w:pPr>
    </w:p>
    <w:p w14:paraId="1D78CCDB" w14:textId="77777777" w:rsidR="009C10E1" w:rsidRPr="00F06396" w:rsidRDefault="009C10E1" w:rsidP="00125988">
      <w:pPr>
        <w:spacing w:line="240" w:lineRule="auto"/>
        <w:rPr>
          <w:rFonts w:cs="Arial"/>
          <w:b/>
          <w:bCs/>
          <w:i/>
          <w:iCs/>
          <w:color w:val="000000"/>
          <w:sz w:val="22"/>
          <w:szCs w:val="22"/>
        </w:rPr>
      </w:pPr>
      <w:r w:rsidRPr="00F06396">
        <w:rPr>
          <w:rFonts w:cs="Arial"/>
          <w:b/>
          <w:bCs/>
          <w:i/>
          <w:iCs/>
          <w:color w:val="000000"/>
          <w:sz w:val="22"/>
          <w:szCs w:val="22"/>
        </w:rPr>
        <w:t>Argumentos de la</w:t>
      </w:r>
      <w:r w:rsidR="00852135" w:rsidRPr="00F06396">
        <w:rPr>
          <w:rFonts w:cs="Arial"/>
          <w:b/>
          <w:bCs/>
          <w:i/>
          <w:iCs/>
          <w:color w:val="000000"/>
          <w:sz w:val="22"/>
          <w:szCs w:val="22"/>
        </w:rPr>
        <w:t>s</w:t>
      </w:r>
      <w:r w:rsidRPr="00F06396">
        <w:rPr>
          <w:rFonts w:cs="Arial"/>
          <w:b/>
          <w:bCs/>
          <w:i/>
          <w:iCs/>
          <w:color w:val="000000"/>
          <w:sz w:val="22"/>
          <w:szCs w:val="22"/>
        </w:rPr>
        <w:t xml:space="preserve"> Reclamante</w:t>
      </w:r>
      <w:r w:rsidR="00852135" w:rsidRPr="00F06396">
        <w:rPr>
          <w:rFonts w:cs="Arial"/>
          <w:b/>
          <w:bCs/>
          <w:i/>
          <w:iCs/>
          <w:color w:val="000000"/>
          <w:sz w:val="22"/>
          <w:szCs w:val="22"/>
        </w:rPr>
        <w:t>s</w:t>
      </w:r>
      <w:r w:rsidRPr="00F06396">
        <w:rPr>
          <w:rFonts w:cs="Arial"/>
          <w:b/>
          <w:bCs/>
          <w:i/>
          <w:iCs/>
          <w:color w:val="000000"/>
          <w:sz w:val="22"/>
          <w:szCs w:val="22"/>
        </w:rPr>
        <w:t>:</w:t>
      </w:r>
    </w:p>
    <w:p w14:paraId="3E57A754" w14:textId="77777777" w:rsidR="009C10E1" w:rsidRPr="00F06396" w:rsidRDefault="009C10E1" w:rsidP="00125988">
      <w:pPr>
        <w:spacing w:line="240" w:lineRule="auto"/>
        <w:rPr>
          <w:rFonts w:cs="Arial"/>
          <w:b/>
          <w:bCs/>
          <w:i/>
          <w:iCs/>
          <w:color w:val="000000"/>
          <w:sz w:val="22"/>
          <w:szCs w:val="22"/>
        </w:rPr>
      </w:pPr>
    </w:p>
    <w:p w14:paraId="43BB1D14" w14:textId="77777777" w:rsidR="00244A14" w:rsidRPr="00F06396" w:rsidRDefault="009C10E1" w:rsidP="00125988">
      <w:pPr>
        <w:pStyle w:val="Prrafodelista"/>
        <w:widowControl/>
        <w:numPr>
          <w:ilvl w:val="0"/>
          <w:numId w:val="35"/>
        </w:numPr>
        <w:adjustRightInd/>
        <w:spacing w:line="240" w:lineRule="auto"/>
        <w:ind w:left="-12" w:hanging="357"/>
        <w:textAlignment w:val="auto"/>
        <w:rPr>
          <w:rFonts w:cs="Arial"/>
          <w:bCs/>
          <w:sz w:val="22"/>
          <w:szCs w:val="22"/>
        </w:rPr>
      </w:pPr>
      <w:r w:rsidRPr="00F06396">
        <w:rPr>
          <w:rFonts w:cs="Arial"/>
          <w:bCs/>
          <w:sz w:val="22"/>
          <w:szCs w:val="22"/>
        </w:rPr>
        <w:t>La</w:t>
      </w:r>
      <w:r w:rsidR="0063593A" w:rsidRPr="00F06396">
        <w:rPr>
          <w:rFonts w:cs="Arial"/>
          <w:bCs/>
          <w:sz w:val="22"/>
          <w:szCs w:val="22"/>
        </w:rPr>
        <w:t>s</w:t>
      </w:r>
      <w:r w:rsidRPr="00F06396">
        <w:rPr>
          <w:rFonts w:cs="Arial"/>
          <w:bCs/>
          <w:sz w:val="22"/>
          <w:szCs w:val="22"/>
        </w:rPr>
        <w:t xml:space="preserve"> </w:t>
      </w:r>
      <w:r w:rsidR="00244A14" w:rsidRPr="00F06396">
        <w:rPr>
          <w:rFonts w:cs="Arial"/>
          <w:bCs/>
          <w:sz w:val="22"/>
          <w:szCs w:val="22"/>
        </w:rPr>
        <w:t>empresa</w:t>
      </w:r>
      <w:r w:rsidR="0063593A" w:rsidRPr="00F06396">
        <w:rPr>
          <w:rFonts w:cs="Arial"/>
          <w:bCs/>
          <w:sz w:val="22"/>
          <w:szCs w:val="22"/>
        </w:rPr>
        <w:t>s</w:t>
      </w:r>
      <w:r w:rsidR="00244A14" w:rsidRPr="00F06396">
        <w:rPr>
          <w:rFonts w:cs="Arial"/>
          <w:bCs/>
          <w:sz w:val="22"/>
          <w:szCs w:val="22"/>
        </w:rPr>
        <w:t xml:space="preserve"> </w:t>
      </w:r>
      <w:r w:rsidR="0063593A" w:rsidRPr="00F06396">
        <w:rPr>
          <w:rFonts w:cs="Arial"/>
          <w:sz w:val="22"/>
          <w:szCs w:val="22"/>
        </w:rPr>
        <w:t>EMBOTELLADORA RIVERA S.A.C. y LOUIS DREYFUS COMMODITIES PERÚ S.R.L.</w:t>
      </w:r>
      <w:r w:rsidRPr="00F06396">
        <w:rPr>
          <w:rFonts w:cs="Arial"/>
          <w:bCs/>
          <w:sz w:val="22"/>
          <w:szCs w:val="22"/>
        </w:rPr>
        <w:t xml:space="preserve"> </w:t>
      </w:r>
      <w:r w:rsidR="00244A14" w:rsidRPr="00F06396">
        <w:rPr>
          <w:rFonts w:cs="Arial"/>
          <w:bCs/>
          <w:sz w:val="22"/>
          <w:szCs w:val="22"/>
        </w:rPr>
        <w:t>reclama</w:t>
      </w:r>
      <w:r w:rsidR="0063593A" w:rsidRPr="00F06396">
        <w:rPr>
          <w:rFonts w:cs="Arial"/>
          <w:bCs/>
          <w:sz w:val="22"/>
          <w:szCs w:val="22"/>
        </w:rPr>
        <w:t>n</w:t>
      </w:r>
      <w:r w:rsidR="00244A14" w:rsidRPr="00F06396">
        <w:rPr>
          <w:rFonts w:cs="Arial"/>
          <w:bCs/>
          <w:sz w:val="22"/>
          <w:szCs w:val="22"/>
        </w:rPr>
        <w:t xml:space="preserve"> que l</w:t>
      </w:r>
      <w:r w:rsidR="00C27898" w:rsidRPr="00F06396">
        <w:rPr>
          <w:rFonts w:cs="Arial"/>
          <w:bCs/>
          <w:sz w:val="22"/>
          <w:szCs w:val="22"/>
        </w:rPr>
        <w:t>a</w:t>
      </w:r>
      <w:r w:rsidR="00244A14" w:rsidRPr="00F06396">
        <w:rPr>
          <w:rFonts w:cs="Arial"/>
          <w:bCs/>
          <w:sz w:val="22"/>
          <w:szCs w:val="22"/>
        </w:rPr>
        <w:t xml:space="preserve"> </w:t>
      </w:r>
      <w:r w:rsidR="00C27898" w:rsidRPr="00F06396">
        <w:rPr>
          <w:rFonts w:cs="Arial"/>
          <w:bCs/>
          <w:sz w:val="22"/>
          <w:szCs w:val="22"/>
        </w:rPr>
        <w:t>SUNAT y el Tribunal Fiscal de la República del Perú denegaron sus solicitudes de devolución de tributos pagados con motiv</w:t>
      </w:r>
      <w:r w:rsidR="007F2207" w:rsidRPr="00F06396">
        <w:rPr>
          <w:rFonts w:cs="Arial"/>
          <w:bCs/>
          <w:sz w:val="22"/>
          <w:szCs w:val="22"/>
        </w:rPr>
        <w:t>o</w:t>
      </w:r>
      <w:r w:rsidR="00C27898" w:rsidRPr="00F06396">
        <w:rPr>
          <w:rFonts w:cs="Arial"/>
          <w:bCs/>
          <w:sz w:val="22"/>
          <w:szCs w:val="22"/>
        </w:rPr>
        <w:t xml:space="preserve"> de </w:t>
      </w:r>
      <w:r w:rsidR="007F2207" w:rsidRPr="00F06396">
        <w:rPr>
          <w:rFonts w:cs="Arial"/>
          <w:bCs/>
          <w:sz w:val="22"/>
          <w:szCs w:val="22"/>
        </w:rPr>
        <w:t xml:space="preserve">las </w:t>
      </w:r>
      <w:r w:rsidR="00C27898" w:rsidRPr="00F06396">
        <w:rPr>
          <w:rFonts w:cs="Arial"/>
          <w:bCs/>
          <w:sz w:val="22"/>
          <w:szCs w:val="22"/>
        </w:rPr>
        <w:t>importaciones de azúcar blanca originaria y procedente de la República de Colombia</w:t>
      </w:r>
      <w:r w:rsidR="007F2207" w:rsidRPr="00F06396">
        <w:rPr>
          <w:rFonts w:cs="Arial"/>
          <w:bCs/>
          <w:sz w:val="22"/>
          <w:szCs w:val="22"/>
        </w:rPr>
        <w:t xml:space="preserve">, con lo cual habrían </w:t>
      </w:r>
      <w:r w:rsidR="008A21B1" w:rsidRPr="00F06396">
        <w:rPr>
          <w:rFonts w:cs="Arial"/>
          <w:sz w:val="22"/>
          <w:szCs w:val="22"/>
        </w:rPr>
        <w:t xml:space="preserve">incurrido en incumplimiento del artículo </w:t>
      </w:r>
      <w:r w:rsidR="00C27898" w:rsidRPr="00F06396">
        <w:rPr>
          <w:rFonts w:cs="Arial"/>
          <w:sz w:val="22"/>
          <w:szCs w:val="22"/>
        </w:rPr>
        <w:t>1</w:t>
      </w:r>
      <w:r w:rsidR="008A21B1" w:rsidRPr="00F06396">
        <w:rPr>
          <w:rFonts w:cs="Arial"/>
          <w:sz w:val="22"/>
          <w:szCs w:val="22"/>
        </w:rPr>
        <w:t>3</w:t>
      </w:r>
      <w:r w:rsidR="00C27898" w:rsidRPr="00F06396">
        <w:rPr>
          <w:rFonts w:cs="Arial"/>
          <w:sz w:val="22"/>
          <w:szCs w:val="22"/>
        </w:rPr>
        <w:t>9</w:t>
      </w:r>
      <w:r w:rsidR="008A21B1" w:rsidRPr="00F06396">
        <w:rPr>
          <w:rFonts w:cs="Arial"/>
          <w:sz w:val="22"/>
          <w:szCs w:val="22"/>
        </w:rPr>
        <w:t xml:space="preserve"> del </w:t>
      </w:r>
      <w:r w:rsidR="00C27898" w:rsidRPr="00F06396">
        <w:rPr>
          <w:rFonts w:cs="Arial"/>
          <w:sz w:val="22"/>
          <w:szCs w:val="22"/>
        </w:rPr>
        <w:t>Acuerdo de Cartagena y la Decisión 416 Normas Especiales para la Calificación y Certificación del Origen de las Mercancías</w:t>
      </w:r>
      <w:r w:rsidR="008A21B1" w:rsidRPr="00F06396">
        <w:rPr>
          <w:rFonts w:cs="Arial"/>
          <w:sz w:val="22"/>
          <w:szCs w:val="22"/>
        </w:rPr>
        <w:t>.</w:t>
      </w:r>
    </w:p>
    <w:p w14:paraId="7C5760C1" w14:textId="77777777" w:rsidR="00C27898" w:rsidRPr="00F06396" w:rsidRDefault="00C27898" w:rsidP="00125988">
      <w:pPr>
        <w:pStyle w:val="Prrafodelista"/>
        <w:widowControl/>
        <w:adjustRightInd/>
        <w:spacing w:line="240" w:lineRule="auto"/>
        <w:ind w:left="-12"/>
        <w:textAlignment w:val="auto"/>
        <w:rPr>
          <w:rFonts w:cs="Arial"/>
          <w:bCs/>
          <w:sz w:val="22"/>
          <w:szCs w:val="22"/>
        </w:rPr>
      </w:pPr>
    </w:p>
    <w:p w14:paraId="3F27B9CF" w14:textId="77777777" w:rsidR="00C27898" w:rsidRPr="00F06396" w:rsidRDefault="00C27898" w:rsidP="00125988">
      <w:pPr>
        <w:pStyle w:val="Prrafodelista"/>
        <w:widowControl/>
        <w:numPr>
          <w:ilvl w:val="0"/>
          <w:numId w:val="35"/>
        </w:numPr>
        <w:adjustRightInd/>
        <w:spacing w:line="240" w:lineRule="auto"/>
        <w:ind w:left="-12" w:hanging="357"/>
        <w:textAlignment w:val="auto"/>
        <w:rPr>
          <w:rFonts w:cs="Arial"/>
          <w:bCs/>
          <w:sz w:val="22"/>
          <w:szCs w:val="22"/>
        </w:rPr>
      </w:pPr>
      <w:r w:rsidRPr="00F06396">
        <w:rPr>
          <w:rFonts w:cs="Arial"/>
          <w:bCs/>
          <w:sz w:val="22"/>
          <w:szCs w:val="22"/>
        </w:rPr>
        <w:t xml:space="preserve">Refieren que en la </w:t>
      </w:r>
      <w:r w:rsidR="007F2207" w:rsidRPr="00F06396">
        <w:rPr>
          <w:rFonts w:cs="Arial"/>
          <w:bCs/>
          <w:sz w:val="22"/>
          <w:szCs w:val="22"/>
        </w:rPr>
        <w:t xml:space="preserve">operación de </w:t>
      </w:r>
      <w:r w:rsidRPr="00F06396">
        <w:rPr>
          <w:rFonts w:cs="Arial"/>
          <w:bCs/>
          <w:sz w:val="22"/>
          <w:szCs w:val="22"/>
        </w:rPr>
        <w:t>importación invocaron la aplicación del Programa de Liberación del Acuerdo de Cartagena, en el marco de lo dispuesto por la Decisión 414 sobre Perfeccionamiento de la Integración Andina, el cual</w:t>
      </w:r>
      <w:r w:rsidR="000F5A78" w:rsidRPr="00F06396">
        <w:rPr>
          <w:rFonts w:cs="Arial"/>
          <w:bCs/>
          <w:sz w:val="22"/>
          <w:szCs w:val="22"/>
        </w:rPr>
        <w:t>, a dicha fecha gozaba de una desgravación parcial del 15%</w:t>
      </w:r>
      <w:r w:rsidR="006750BE" w:rsidRPr="00F06396">
        <w:rPr>
          <w:rFonts w:cs="Arial"/>
          <w:bCs/>
          <w:sz w:val="22"/>
          <w:szCs w:val="22"/>
        </w:rPr>
        <w:t>. E</w:t>
      </w:r>
      <w:r w:rsidR="000F5A78" w:rsidRPr="00F06396">
        <w:rPr>
          <w:rFonts w:cs="Arial"/>
          <w:bCs/>
          <w:sz w:val="22"/>
          <w:szCs w:val="22"/>
        </w:rPr>
        <w:t xml:space="preserve">l producto en cuestión </w:t>
      </w:r>
      <w:r w:rsidRPr="00F06396">
        <w:rPr>
          <w:rFonts w:cs="Arial"/>
          <w:bCs/>
          <w:sz w:val="22"/>
          <w:szCs w:val="22"/>
        </w:rPr>
        <w:t>también se enc</w:t>
      </w:r>
      <w:r w:rsidR="00242291" w:rsidRPr="00F06396">
        <w:rPr>
          <w:rFonts w:cs="Arial"/>
          <w:bCs/>
          <w:sz w:val="22"/>
          <w:szCs w:val="22"/>
        </w:rPr>
        <w:t>o</w:t>
      </w:r>
      <w:r w:rsidRPr="00F06396">
        <w:rPr>
          <w:rFonts w:cs="Arial"/>
          <w:bCs/>
          <w:sz w:val="22"/>
          <w:szCs w:val="22"/>
        </w:rPr>
        <w:t>ntra</w:t>
      </w:r>
      <w:r w:rsidR="00242291" w:rsidRPr="00F06396">
        <w:rPr>
          <w:rFonts w:cs="Arial"/>
          <w:bCs/>
          <w:sz w:val="22"/>
          <w:szCs w:val="22"/>
        </w:rPr>
        <w:t>ba</w:t>
      </w:r>
      <w:r w:rsidRPr="00F06396">
        <w:rPr>
          <w:rFonts w:cs="Arial"/>
          <w:bCs/>
          <w:sz w:val="22"/>
          <w:szCs w:val="22"/>
        </w:rPr>
        <w:t xml:space="preserve"> negociado en el Acuerdo Regional de Apertura de Mercados suscrito a favor de Bolivia en el marco de la ALADI</w:t>
      </w:r>
      <w:r w:rsidR="000F5A78" w:rsidRPr="00F06396">
        <w:rPr>
          <w:rFonts w:cs="Arial"/>
          <w:bCs/>
          <w:sz w:val="22"/>
          <w:szCs w:val="22"/>
        </w:rPr>
        <w:t xml:space="preserve"> (</w:t>
      </w:r>
      <w:r w:rsidRPr="00F06396">
        <w:rPr>
          <w:rFonts w:cs="Arial"/>
          <w:bCs/>
          <w:sz w:val="22"/>
          <w:szCs w:val="22"/>
        </w:rPr>
        <w:t>ARAM 1</w:t>
      </w:r>
      <w:r w:rsidR="000F5A78" w:rsidRPr="00F06396">
        <w:rPr>
          <w:rFonts w:cs="Arial"/>
          <w:bCs/>
          <w:sz w:val="22"/>
          <w:szCs w:val="22"/>
        </w:rPr>
        <w:t>) con una preferencia de</w:t>
      </w:r>
      <w:r w:rsidRPr="00F06396">
        <w:rPr>
          <w:rFonts w:cs="Arial"/>
          <w:bCs/>
          <w:sz w:val="22"/>
          <w:szCs w:val="22"/>
        </w:rPr>
        <w:t xml:space="preserve"> 100%</w:t>
      </w:r>
      <w:r w:rsidR="000F5A78" w:rsidRPr="00F06396">
        <w:rPr>
          <w:rFonts w:cs="Arial"/>
          <w:bCs/>
          <w:sz w:val="22"/>
          <w:szCs w:val="22"/>
        </w:rPr>
        <w:t xml:space="preserve">, </w:t>
      </w:r>
      <w:r w:rsidR="006750BE" w:rsidRPr="00F06396">
        <w:rPr>
          <w:rFonts w:cs="Arial"/>
          <w:bCs/>
          <w:sz w:val="22"/>
          <w:szCs w:val="22"/>
        </w:rPr>
        <w:t xml:space="preserve">siendo este acuerdo, según refieren, </w:t>
      </w:r>
      <w:r w:rsidR="000F5A78" w:rsidRPr="00F06396">
        <w:rPr>
          <w:rFonts w:cs="Arial"/>
          <w:bCs/>
          <w:sz w:val="22"/>
          <w:szCs w:val="22"/>
        </w:rPr>
        <w:t>de aplicación obl</w:t>
      </w:r>
      <w:r w:rsidRPr="00F06396">
        <w:rPr>
          <w:rFonts w:cs="Arial"/>
          <w:bCs/>
          <w:sz w:val="22"/>
          <w:szCs w:val="22"/>
        </w:rPr>
        <w:t>igatoria para el Perú al haber sido incorporado</w:t>
      </w:r>
      <w:r w:rsidR="000F5A78" w:rsidRPr="00F06396">
        <w:rPr>
          <w:rFonts w:cs="Arial"/>
          <w:bCs/>
          <w:sz w:val="22"/>
          <w:szCs w:val="22"/>
        </w:rPr>
        <w:t xml:space="preserve"> a su legislación interna </w:t>
      </w:r>
      <w:r w:rsidRPr="00F06396">
        <w:rPr>
          <w:rFonts w:cs="Arial"/>
          <w:bCs/>
          <w:sz w:val="22"/>
          <w:szCs w:val="22"/>
        </w:rPr>
        <w:t xml:space="preserve">mediante </w:t>
      </w:r>
      <w:r w:rsidR="000F5A78" w:rsidRPr="00F06396">
        <w:rPr>
          <w:rFonts w:cs="Arial"/>
          <w:bCs/>
          <w:sz w:val="22"/>
          <w:szCs w:val="22"/>
        </w:rPr>
        <w:t xml:space="preserve">el </w:t>
      </w:r>
      <w:r w:rsidRPr="00F06396">
        <w:rPr>
          <w:rFonts w:cs="Arial"/>
          <w:bCs/>
          <w:sz w:val="22"/>
          <w:szCs w:val="22"/>
        </w:rPr>
        <w:t>Decreto Supremo N° 040-84-ITI/IG.</w:t>
      </w:r>
      <w:r w:rsidR="000F5A78" w:rsidRPr="00F06396">
        <w:rPr>
          <w:rFonts w:cs="Arial"/>
          <w:bCs/>
          <w:sz w:val="22"/>
          <w:szCs w:val="22"/>
        </w:rPr>
        <w:t xml:space="preserve"> Según manifiestan dicho acuerdo </w:t>
      </w:r>
      <w:r w:rsidR="005E604F" w:rsidRPr="00F06396">
        <w:rPr>
          <w:rFonts w:cs="Arial"/>
          <w:bCs/>
          <w:sz w:val="22"/>
          <w:szCs w:val="22"/>
        </w:rPr>
        <w:t xml:space="preserve">establece que las preferencias arancelarias otorgadas </w:t>
      </w:r>
      <w:r w:rsidR="000F5A78" w:rsidRPr="00F06396">
        <w:rPr>
          <w:rFonts w:cs="Arial"/>
          <w:bCs/>
          <w:sz w:val="22"/>
          <w:szCs w:val="22"/>
        </w:rPr>
        <w:t xml:space="preserve">por él </w:t>
      </w:r>
      <w:r w:rsidR="005E604F" w:rsidRPr="00F06396">
        <w:rPr>
          <w:rFonts w:cs="Arial"/>
          <w:bCs/>
          <w:sz w:val="22"/>
          <w:szCs w:val="22"/>
        </w:rPr>
        <w:t xml:space="preserve">se ajustarán a las condiciones establecidas </w:t>
      </w:r>
      <w:r w:rsidR="000F5A78" w:rsidRPr="00F06396">
        <w:rPr>
          <w:rFonts w:cs="Arial"/>
          <w:bCs/>
          <w:sz w:val="22"/>
          <w:szCs w:val="22"/>
        </w:rPr>
        <w:t>e</w:t>
      </w:r>
      <w:r w:rsidR="005E604F" w:rsidRPr="00F06396">
        <w:rPr>
          <w:rFonts w:cs="Arial"/>
          <w:bCs/>
          <w:sz w:val="22"/>
          <w:szCs w:val="22"/>
        </w:rPr>
        <w:t>n el Acuerdo de Cartagena</w:t>
      </w:r>
      <w:r w:rsidR="00A10D83" w:rsidRPr="00F06396">
        <w:rPr>
          <w:rFonts w:cs="Arial"/>
          <w:bCs/>
          <w:sz w:val="22"/>
          <w:szCs w:val="22"/>
        </w:rPr>
        <w:t xml:space="preserve"> y q</w:t>
      </w:r>
      <w:r w:rsidR="00E62A0D" w:rsidRPr="00F06396">
        <w:rPr>
          <w:rFonts w:cs="Arial"/>
          <w:bCs/>
          <w:sz w:val="22"/>
          <w:szCs w:val="22"/>
        </w:rPr>
        <w:t>ue d</w:t>
      </w:r>
      <w:r w:rsidR="005E604F" w:rsidRPr="00F06396">
        <w:rPr>
          <w:rFonts w:cs="Arial"/>
          <w:bCs/>
          <w:sz w:val="22"/>
          <w:szCs w:val="22"/>
        </w:rPr>
        <w:t>esde su entrada en vigencia en 1983</w:t>
      </w:r>
      <w:r w:rsidR="00A10D83" w:rsidRPr="00F06396">
        <w:rPr>
          <w:rFonts w:cs="Arial"/>
          <w:bCs/>
          <w:sz w:val="22"/>
          <w:szCs w:val="22"/>
        </w:rPr>
        <w:t xml:space="preserve">, </w:t>
      </w:r>
      <w:r w:rsidR="005E604F" w:rsidRPr="00F06396">
        <w:rPr>
          <w:rFonts w:cs="Arial"/>
          <w:bCs/>
          <w:sz w:val="22"/>
          <w:szCs w:val="22"/>
        </w:rPr>
        <w:t>ha sido utilizado por los importadores</w:t>
      </w:r>
      <w:r w:rsidR="000F5A78" w:rsidRPr="00F06396">
        <w:rPr>
          <w:rFonts w:cs="Arial"/>
          <w:bCs/>
          <w:sz w:val="22"/>
          <w:szCs w:val="22"/>
        </w:rPr>
        <w:t>,</w:t>
      </w:r>
      <w:r w:rsidR="005E604F" w:rsidRPr="00F06396">
        <w:rPr>
          <w:rFonts w:cs="Arial"/>
          <w:bCs/>
          <w:sz w:val="22"/>
          <w:szCs w:val="22"/>
        </w:rPr>
        <w:t xml:space="preserve"> coexistiendo con el Programa de Liberación establecido en el marco de la Comunidad Andina.</w:t>
      </w:r>
    </w:p>
    <w:p w14:paraId="7210110A" w14:textId="77777777" w:rsidR="00265302" w:rsidRPr="00F06396" w:rsidRDefault="00265302" w:rsidP="00125988">
      <w:pPr>
        <w:pStyle w:val="Prrafodelista"/>
        <w:spacing w:line="240" w:lineRule="auto"/>
        <w:rPr>
          <w:rFonts w:cs="Arial"/>
          <w:bCs/>
          <w:sz w:val="22"/>
          <w:szCs w:val="22"/>
        </w:rPr>
      </w:pPr>
    </w:p>
    <w:p w14:paraId="6D6A9A7A" w14:textId="77777777" w:rsidR="005E604F" w:rsidRPr="00F06396" w:rsidRDefault="000F5A78" w:rsidP="00125988">
      <w:pPr>
        <w:pStyle w:val="Prrafodelista"/>
        <w:widowControl/>
        <w:numPr>
          <w:ilvl w:val="0"/>
          <w:numId w:val="35"/>
        </w:numPr>
        <w:adjustRightInd/>
        <w:spacing w:line="240" w:lineRule="auto"/>
        <w:ind w:left="-12" w:hanging="357"/>
        <w:textAlignment w:val="auto"/>
        <w:rPr>
          <w:rFonts w:cs="Arial"/>
          <w:bCs/>
          <w:sz w:val="22"/>
          <w:szCs w:val="22"/>
        </w:rPr>
      </w:pPr>
      <w:r w:rsidRPr="00F06396">
        <w:rPr>
          <w:rFonts w:cs="Arial"/>
          <w:bCs/>
          <w:sz w:val="22"/>
          <w:szCs w:val="22"/>
        </w:rPr>
        <w:t xml:space="preserve">Señalan también que su reclamación </w:t>
      </w:r>
      <w:r w:rsidR="00265302" w:rsidRPr="00F06396">
        <w:rPr>
          <w:rFonts w:cs="Arial"/>
          <w:bCs/>
          <w:sz w:val="22"/>
          <w:szCs w:val="22"/>
        </w:rPr>
        <w:t>no pretende rectificar o modificar los certificados de origen que amparan la pretensión de devolución de tributos indebidamente pagados</w:t>
      </w:r>
      <w:r w:rsidRPr="00F06396">
        <w:rPr>
          <w:rFonts w:cs="Arial"/>
          <w:bCs/>
          <w:sz w:val="22"/>
          <w:szCs w:val="22"/>
        </w:rPr>
        <w:t xml:space="preserve"> y que de acuerdo con </w:t>
      </w:r>
      <w:r w:rsidR="005E604F" w:rsidRPr="00F06396">
        <w:rPr>
          <w:rFonts w:cs="Arial"/>
          <w:bCs/>
          <w:sz w:val="22"/>
          <w:szCs w:val="22"/>
        </w:rPr>
        <w:t>e</w:t>
      </w:r>
      <w:r w:rsidRPr="00F06396">
        <w:rPr>
          <w:rFonts w:cs="Arial"/>
          <w:bCs/>
          <w:sz w:val="22"/>
          <w:szCs w:val="22"/>
        </w:rPr>
        <w:t xml:space="preserve">l artículo 2 de la Decisión 414, </w:t>
      </w:r>
      <w:r w:rsidR="005E604F" w:rsidRPr="00F06396">
        <w:rPr>
          <w:rFonts w:cs="Arial"/>
          <w:bCs/>
          <w:sz w:val="22"/>
          <w:szCs w:val="22"/>
        </w:rPr>
        <w:t xml:space="preserve">las preferencias acordadas en el </w:t>
      </w:r>
      <w:r w:rsidR="005E604F" w:rsidRPr="00F06396">
        <w:rPr>
          <w:rFonts w:cs="Arial"/>
          <w:bCs/>
          <w:sz w:val="22"/>
          <w:szCs w:val="22"/>
        </w:rPr>
        <w:lastRenderedPageBreak/>
        <w:t>marco de acuerdos bilaterales contin</w:t>
      </w:r>
      <w:r w:rsidR="00A10D83" w:rsidRPr="00F06396">
        <w:rPr>
          <w:rFonts w:cs="Arial"/>
          <w:bCs/>
          <w:sz w:val="22"/>
          <w:szCs w:val="22"/>
        </w:rPr>
        <w:t>uaban</w:t>
      </w:r>
      <w:r w:rsidR="005E604F" w:rsidRPr="00F06396">
        <w:rPr>
          <w:rFonts w:cs="Arial"/>
          <w:bCs/>
          <w:sz w:val="22"/>
          <w:szCs w:val="22"/>
        </w:rPr>
        <w:t xml:space="preserve"> vigentes en la medida en que </w:t>
      </w:r>
      <w:r w:rsidRPr="00F06396">
        <w:rPr>
          <w:rFonts w:cs="Arial"/>
          <w:bCs/>
          <w:sz w:val="22"/>
          <w:szCs w:val="22"/>
        </w:rPr>
        <w:t>confi</w:t>
      </w:r>
      <w:r w:rsidR="00A10D83" w:rsidRPr="00F06396">
        <w:rPr>
          <w:rFonts w:cs="Arial"/>
          <w:bCs/>
          <w:sz w:val="22"/>
          <w:szCs w:val="22"/>
        </w:rPr>
        <w:t>ri</w:t>
      </w:r>
      <w:r w:rsidRPr="00F06396">
        <w:rPr>
          <w:rFonts w:cs="Arial"/>
          <w:bCs/>
          <w:sz w:val="22"/>
          <w:szCs w:val="22"/>
        </w:rPr>
        <w:t>eran</w:t>
      </w:r>
      <w:r w:rsidR="005E604F" w:rsidRPr="00F06396">
        <w:rPr>
          <w:rFonts w:cs="Arial"/>
          <w:bCs/>
          <w:sz w:val="22"/>
          <w:szCs w:val="22"/>
        </w:rPr>
        <w:t xml:space="preserve"> un tratamiento más favorable que las ventajas con</w:t>
      </w:r>
      <w:r w:rsidRPr="00F06396">
        <w:rPr>
          <w:rFonts w:cs="Arial"/>
          <w:bCs/>
          <w:sz w:val="22"/>
          <w:szCs w:val="22"/>
        </w:rPr>
        <w:t>cedidas en virtud de la citada D</w:t>
      </w:r>
      <w:r w:rsidR="005E604F" w:rsidRPr="00F06396">
        <w:rPr>
          <w:rFonts w:cs="Arial"/>
          <w:bCs/>
          <w:sz w:val="22"/>
          <w:szCs w:val="22"/>
        </w:rPr>
        <w:t>ecisión</w:t>
      </w:r>
      <w:r w:rsidRPr="00F06396">
        <w:rPr>
          <w:rFonts w:cs="Arial"/>
          <w:bCs/>
          <w:sz w:val="22"/>
          <w:szCs w:val="22"/>
        </w:rPr>
        <w:t xml:space="preserve">, por lo que </w:t>
      </w:r>
      <w:r w:rsidR="005E604F" w:rsidRPr="00F06396">
        <w:rPr>
          <w:rFonts w:cs="Arial"/>
          <w:bCs/>
          <w:sz w:val="22"/>
          <w:szCs w:val="22"/>
        </w:rPr>
        <w:t>queda claro que el ARAM 1 no contraviene el ordenamiento jurídico andino.</w:t>
      </w:r>
    </w:p>
    <w:p w14:paraId="2DB51F40" w14:textId="77777777" w:rsidR="00E62A0D" w:rsidRDefault="00E62A0D" w:rsidP="00E62A0D">
      <w:pPr>
        <w:pStyle w:val="Prrafodelista"/>
        <w:rPr>
          <w:rFonts w:cs="Arial"/>
          <w:bCs/>
          <w:sz w:val="22"/>
          <w:szCs w:val="22"/>
        </w:rPr>
      </w:pPr>
    </w:p>
    <w:p w14:paraId="187CA781" w14:textId="77777777" w:rsidR="00CF6878" w:rsidRPr="00F06396" w:rsidRDefault="00CF6878" w:rsidP="00E62A0D">
      <w:pPr>
        <w:pStyle w:val="Prrafodelista"/>
        <w:rPr>
          <w:rFonts w:cs="Arial"/>
          <w:bCs/>
          <w:sz w:val="22"/>
          <w:szCs w:val="22"/>
        </w:rPr>
      </w:pPr>
    </w:p>
    <w:p w14:paraId="0132BDC2" w14:textId="77777777" w:rsidR="00EF1C07" w:rsidRPr="00F06396" w:rsidRDefault="005E604F" w:rsidP="00125988">
      <w:pPr>
        <w:pStyle w:val="Prrafodelista"/>
        <w:widowControl/>
        <w:numPr>
          <w:ilvl w:val="0"/>
          <w:numId w:val="35"/>
        </w:numPr>
        <w:adjustRightInd/>
        <w:spacing w:line="240" w:lineRule="auto"/>
        <w:ind w:left="-12" w:hanging="357"/>
        <w:textAlignment w:val="auto"/>
        <w:rPr>
          <w:rFonts w:cs="Arial"/>
          <w:bCs/>
          <w:sz w:val="22"/>
          <w:szCs w:val="22"/>
        </w:rPr>
      </w:pPr>
      <w:r w:rsidRPr="00F06396">
        <w:rPr>
          <w:rFonts w:cs="Arial"/>
          <w:bCs/>
          <w:sz w:val="22"/>
          <w:szCs w:val="22"/>
        </w:rPr>
        <w:t>Señalan que al establecer el ARAM 1 una preferencia de 100% al producto de azúcar blanca</w:t>
      </w:r>
      <w:r w:rsidR="00EF1C07" w:rsidRPr="00F06396">
        <w:rPr>
          <w:rFonts w:cs="Arial"/>
          <w:bCs/>
          <w:sz w:val="22"/>
          <w:szCs w:val="22"/>
        </w:rPr>
        <w:t>,</w:t>
      </w:r>
      <w:r w:rsidRPr="00F06396">
        <w:rPr>
          <w:rFonts w:cs="Arial"/>
          <w:bCs/>
          <w:sz w:val="22"/>
          <w:szCs w:val="22"/>
        </w:rPr>
        <w:t xml:space="preserve"> lo cual no estaba contemplado dentro del Programa de Desgravación del Acuerdo de Cartagena,</w:t>
      </w:r>
      <w:r w:rsidR="000F5A78" w:rsidRPr="00F06396">
        <w:rPr>
          <w:rFonts w:cs="Arial"/>
          <w:bCs/>
          <w:sz w:val="22"/>
          <w:szCs w:val="22"/>
        </w:rPr>
        <w:t xml:space="preserve"> se genera el derecho a </w:t>
      </w:r>
      <w:r w:rsidRPr="00F06396">
        <w:rPr>
          <w:rFonts w:cs="Arial"/>
          <w:bCs/>
          <w:sz w:val="22"/>
          <w:szCs w:val="22"/>
        </w:rPr>
        <w:t>solicitar la preferencia en el marco del ARAM 1 de conformidad con la Cláusula de Nación Más Favorecida</w:t>
      </w:r>
      <w:r w:rsidR="000F5A78" w:rsidRPr="00F06396">
        <w:rPr>
          <w:rFonts w:cs="Arial"/>
          <w:bCs/>
          <w:sz w:val="22"/>
          <w:szCs w:val="22"/>
        </w:rPr>
        <w:t>, la que el Perú debe e</w:t>
      </w:r>
      <w:r w:rsidR="00EF1C07" w:rsidRPr="00F06396">
        <w:rPr>
          <w:rFonts w:cs="Arial"/>
          <w:bCs/>
          <w:sz w:val="22"/>
          <w:szCs w:val="22"/>
        </w:rPr>
        <w:t>xtender en forma incondicional e inmediata a su socio subregional andino</w:t>
      </w:r>
      <w:r w:rsidR="004D63E4" w:rsidRPr="00F06396">
        <w:rPr>
          <w:rFonts w:cs="Arial"/>
          <w:bCs/>
          <w:sz w:val="22"/>
          <w:szCs w:val="22"/>
        </w:rPr>
        <w:t xml:space="preserve"> teniendo </w:t>
      </w:r>
      <w:r w:rsidR="00EF1C07" w:rsidRPr="00F06396">
        <w:rPr>
          <w:rFonts w:cs="Arial"/>
          <w:bCs/>
          <w:sz w:val="22"/>
          <w:szCs w:val="22"/>
        </w:rPr>
        <w:t>la Autoridad Aduanera la obligación de aplicar</w:t>
      </w:r>
      <w:r w:rsidR="004D63E4" w:rsidRPr="00F06396">
        <w:rPr>
          <w:rFonts w:cs="Arial"/>
          <w:bCs/>
          <w:sz w:val="22"/>
          <w:szCs w:val="22"/>
        </w:rPr>
        <w:t xml:space="preserve"> dicha cláusula</w:t>
      </w:r>
      <w:r w:rsidR="00D26B46" w:rsidRPr="00F06396">
        <w:rPr>
          <w:rFonts w:cs="Arial"/>
          <w:bCs/>
          <w:sz w:val="22"/>
          <w:szCs w:val="22"/>
        </w:rPr>
        <w:t>,</w:t>
      </w:r>
      <w:r w:rsidR="00EF1C07" w:rsidRPr="00F06396">
        <w:rPr>
          <w:rFonts w:cs="Arial"/>
          <w:bCs/>
          <w:sz w:val="22"/>
          <w:szCs w:val="22"/>
        </w:rPr>
        <w:t xml:space="preserve"> incluso si ésta no es invocada por el usuario, debido a su carácter directo, preeminente e inmediato.</w:t>
      </w:r>
    </w:p>
    <w:p w14:paraId="12A6704E" w14:textId="77777777" w:rsidR="00EF1C07" w:rsidRPr="00F06396" w:rsidRDefault="00EF1C07" w:rsidP="00125988">
      <w:pPr>
        <w:pStyle w:val="Prrafodelista"/>
        <w:spacing w:line="240" w:lineRule="auto"/>
        <w:rPr>
          <w:rFonts w:cs="Arial"/>
          <w:bCs/>
          <w:sz w:val="22"/>
          <w:szCs w:val="22"/>
        </w:rPr>
      </w:pPr>
    </w:p>
    <w:p w14:paraId="162F15FD" w14:textId="77777777" w:rsidR="00F41E3C" w:rsidRPr="00F06396" w:rsidRDefault="00065368" w:rsidP="00125988">
      <w:pPr>
        <w:pStyle w:val="Prrafodelista"/>
        <w:widowControl/>
        <w:numPr>
          <w:ilvl w:val="0"/>
          <w:numId w:val="35"/>
        </w:numPr>
        <w:adjustRightInd/>
        <w:spacing w:line="240" w:lineRule="auto"/>
        <w:ind w:left="-12" w:hanging="357"/>
        <w:textAlignment w:val="auto"/>
        <w:rPr>
          <w:rFonts w:cs="Arial"/>
          <w:bCs/>
          <w:sz w:val="22"/>
          <w:szCs w:val="22"/>
        </w:rPr>
      </w:pPr>
      <w:r w:rsidRPr="00F06396">
        <w:rPr>
          <w:rFonts w:cs="Arial"/>
          <w:bCs/>
          <w:sz w:val="22"/>
          <w:szCs w:val="22"/>
        </w:rPr>
        <w:t>C</w:t>
      </w:r>
      <w:r w:rsidR="00EF1C07" w:rsidRPr="00F06396">
        <w:rPr>
          <w:rFonts w:cs="Arial"/>
          <w:bCs/>
          <w:sz w:val="22"/>
          <w:szCs w:val="22"/>
        </w:rPr>
        <w:t>on</w:t>
      </w:r>
      <w:r w:rsidRPr="00F06396">
        <w:rPr>
          <w:rFonts w:cs="Arial"/>
          <w:bCs/>
          <w:sz w:val="22"/>
          <w:szCs w:val="22"/>
        </w:rPr>
        <w:t>cluye</w:t>
      </w:r>
      <w:r w:rsidR="006750BE" w:rsidRPr="00F06396">
        <w:rPr>
          <w:rFonts w:cs="Arial"/>
          <w:bCs/>
          <w:sz w:val="22"/>
          <w:szCs w:val="22"/>
        </w:rPr>
        <w:t>n</w:t>
      </w:r>
      <w:r w:rsidR="00D26B46" w:rsidRPr="00F06396">
        <w:rPr>
          <w:rFonts w:cs="Arial"/>
          <w:bCs/>
          <w:sz w:val="22"/>
          <w:szCs w:val="22"/>
        </w:rPr>
        <w:t xml:space="preserve"> la</w:t>
      </w:r>
      <w:r w:rsidR="006750BE" w:rsidRPr="00F06396">
        <w:rPr>
          <w:rFonts w:cs="Arial"/>
          <w:bCs/>
          <w:sz w:val="22"/>
          <w:szCs w:val="22"/>
        </w:rPr>
        <w:t>s</w:t>
      </w:r>
      <w:r w:rsidR="00D26B46" w:rsidRPr="00F06396">
        <w:rPr>
          <w:rFonts w:cs="Arial"/>
          <w:bCs/>
          <w:sz w:val="22"/>
          <w:szCs w:val="22"/>
        </w:rPr>
        <w:t xml:space="preserve"> reclamante</w:t>
      </w:r>
      <w:r w:rsidR="006750BE" w:rsidRPr="00F06396">
        <w:rPr>
          <w:rFonts w:cs="Arial"/>
          <w:bCs/>
          <w:sz w:val="22"/>
          <w:szCs w:val="22"/>
        </w:rPr>
        <w:t>s</w:t>
      </w:r>
      <w:r w:rsidRPr="00F06396">
        <w:rPr>
          <w:rFonts w:cs="Arial"/>
          <w:bCs/>
          <w:sz w:val="22"/>
          <w:szCs w:val="22"/>
        </w:rPr>
        <w:t xml:space="preserve"> que</w:t>
      </w:r>
      <w:r w:rsidR="00EF1C07" w:rsidRPr="00F06396">
        <w:rPr>
          <w:rFonts w:cs="Arial"/>
          <w:bCs/>
          <w:sz w:val="22"/>
          <w:szCs w:val="22"/>
        </w:rPr>
        <w:t xml:space="preserve"> la SUNAT se equivocó al señalar que no corresponde aplicar al producto azúcar blanca la preferencia otorgada en el marco del ARAM 1</w:t>
      </w:r>
      <w:r w:rsidR="004D63E4" w:rsidRPr="00F06396">
        <w:rPr>
          <w:rFonts w:cs="Arial"/>
          <w:bCs/>
          <w:sz w:val="22"/>
          <w:szCs w:val="22"/>
        </w:rPr>
        <w:t xml:space="preserve"> y que </w:t>
      </w:r>
      <w:r w:rsidR="00D26B46" w:rsidRPr="00F06396">
        <w:rPr>
          <w:rFonts w:cs="Arial"/>
          <w:bCs/>
          <w:sz w:val="22"/>
          <w:szCs w:val="22"/>
        </w:rPr>
        <w:t xml:space="preserve">requerir </w:t>
      </w:r>
      <w:r w:rsidR="00F41E3C" w:rsidRPr="00F06396">
        <w:rPr>
          <w:rFonts w:cs="Arial"/>
          <w:bCs/>
          <w:sz w:val="22"/>
          <w:szCs w:val="22"/>
        </w:rPr>
        <w:t xml:space="preserve">para ello </w:t>
      </w:r>
      <w:r w:rsidR="00D26B46" w:rsidRPr="00F06396">
        <w:rPr>
          <w:rFonts w:cs="Arial"/>
          <w:bCs/>
          <w:sz w:val="22"/>
          <w:szCs w:val="22"/>
        </w:rPr>
        <w:t xml:space="preserve">la consignación </w:t>
      </w:r>
      <w:r w:rsidR="004D63E4" w:rsidRPr="00F06396">
        <w:rPr>
          <w:rFonts w:cs="Arial"/>
          <w:bCs/>
          <w:sz w:val="22"/>
          <w:szCs w:val="22"/>
        </w:rPr>
        <w:t xml:space="preserve">de tal preferencia </w:t>
      </w:r>
      <w:r w:rsidR="00D26B46" w:rsidRPr="00F06396">
        <w:rPr>
          <w:rFonts w:cs="Arial"/>
          <w:bCs/>
          <w:sz w:val="22"/>
          <w:szCs w:val="22"/>
        </w:rPr>
        <w:t>en el rubro de observaciones del certificado de origen</w:t>
      </w:r>
      <w:r w:rsidRPr="00F06396">
        <w:rPr>
          <w:rFonts w:cs="Arial"/>
          <w:bCs/>
          <w:sz w:val="22"/>
          <w:szCs w:val="22"/>
        </w:rPr>
        <w:t>, sobre la base del procedimiento INTA-PE.01.11 versión 2, el cual dispone que para la solicit</w:t>
      </w:r>
      <w:r w:rsidR="00ED0EF5" w:rsidRPr="00F06396">
        <w:rPr>
          <w:rFonts w:cs="Arial"/>
          <w:bCs/>
          <w:sz w:val="22"/>
          <w:szCs w:val="22"/>
        </w:rPr>
        <w:t>ar</w:t>
      </w:r>
      <w:r w:rsidRPr="00F06396">
        <w:rPr>
          <w:rFonts w:cs="Arial"/>
          <w:bCs/>
          <w:sz w:val="22"/>
          <w:szCs w:val="22"/>
        </w:rPr>
        <w:t xml:space="preserve"> la preferencia</w:t>
      </w:r>
      <w:r w:rsidR="00D26B46" w:rsidRPr="00F06396">
        <w:rPr>
          <w:rFonts w:cs="Arial"/>
          <w:bCs/>
          <w:sz w:val="22"/>
          <w:szCs w:val="22"/>
        </w:rPr>
        <w:t>,</w:t>
      </w:r>
      <w:r w:rsidRPr="00F06396">
        <w:rPr>
          <w:rFonts w:cs="Arial"/>
          <w:bCs/>
          <w:sz w:val="22"/>
          <w:szCs w:val="22"/>
        </w:rPr>
        <w:t xml:space="preserve"> se hace necesaria la consignación del acuerdo comercial en el rubro de observaciones</w:t>
      </w:r>
      <w:r w:rsidR="00F41E3C" w:rsidRPr="00F06396">
        <w:rPr>
          <w:rFonts w:cs="Arial"/>
          <w:bCs/>
          <w:sz w:val="22"/>
          <w:szCs w:val="22"/>
        </w:rPr>
        <w:t xml:space="preserve">. </w:t>
      </w:r>
    </w:p>
    <w:p w14:paraId="276B4BFD" w14:textId="77777777" w:rsidR="00F41E3C" w:rsidRPr="00F06396" w:rsidRDefault="00F41E3C" w:rsidP="00CF6878">
      <w:pPr>
        <w:pStyle w:val="Prrafodelista"/>
        <w:spacing w:line="240" w:lineRule="auto"/>
        <w:rPr>
          <w:rFonts w:cs="Arial"/>
          <w:bCs/>
          <w:sz w:val="22"/>
          <w:szCs w:val="22"/>
        </w:rPr>
      </w:pPr>
    </w:p>
    <w:p w14:paraId="5A4EE62A" w14:textId="77777777" w:rsidR="00034A10" w:rsidRPr="00F06396" w:rsidRDefault="00F41E3C" w:rsidP="00125988">
      <w:pPr>
        <w:pStyle w:val="Prrafodelista"/>
        <w:widowControl/>
        <w:numPr>
          <w:ilvl w:val="0"/>
          <w:numId w:val="35"/>
        </w:numPr>
        <w:adjustRightInd/>
        <w:spacing w:line="240" w:lineRule="auto"/>
        <w:ind w:left="-12" w:hanging="357"/>
        <w:textAlignment w:val="auto"/>
        <w:rPr>
          <w:rFonts w:cs="Arial"/>
          <w:bCs/>
          <w:sz w:val="22"/>
          <w:szCs w:val="22"/>
        </w:rPr>
      </w:pPr>
      <w:r w:rsidRPr="00F06396">
        <w:rPr>
          <w:rFonts w:cs="Arial"/>
          <w:bCs/>
          <w:sz w:val="22"/>
          <w:szCs w:val="22"/>
        </w:rPr>
        <w:t>Indica</w:t>
      </w:r>
      <w:r w:rsidR="006750BE" w:rsidRPr="00F06396">
        <w:rPr>
          <w:rFonts w:cs="Arial"/>
          <w:bCs/>
          <w:sz w:val="22"/>
          <w:szCs w:val="22"/>
        </w:rPr>
        <w:t>n</w:t>
      </w:r>
      <w:r w:rsidRPr="00F06396">
        <w:rPr>
          <w:rFonts w:cs="Arial"/>
          <w:bCs/>
          <w:sz w:val="22"/>
          <w:szCs w:val="22"/>
        </w:rPr>
        <w:t xml:space="preserve"> que con ello se</w:t>
      </w:r>
      <w:r w:rsidR="00D26B46" w:rsidRPr="00F06396">
        <w:rPr>
          <w:rFonts w:cs="Arial"/>
          <w:bCs/>
          <w:sz w:val="22"/>
          <w:szCs w:val="22"/>
        </w:rPr>
        <w:t xml:space="preserve"> excede la norma comunitaria pues </w:t>
      </w:r>
      <w:r w:rsidR="00065368" w:rsidRPr="00F06396">
        <w:rPr>
          <w:rFonts w:cs="Arial"/>
          <w:bCs/>
          <w:sz w:val="22"/>
          <w:szCs w:val="22"/>
        </w:rPr>
        <w:t>no puede aplicarse la legislación administrativa interna en aquellos aspectos que no sean regulados</w:t>
      </w:r>
      <w:r w:rsidR="00ED0EF5" w:rsidRPr="00F06396">
        <w:rPr>
          <w:rFonts w:cs="Arial"/>
          <w:bCs/>
          <w:sz w:val="22"/>
          <w:szCs w:val="22"/>
        </w:rPr>
        <w:t xml:space="preserve"> por ésta</w:t>
      </w:r>
      <w:r w:rsidR="00065368" w:rsidRPr="00F06396">
        <w:rPr>
          <w:rFonts w:cs="Arial"/>
          <w:bCs/>
          <w:sz w:val="22"/>
          <w:szCs w:val="22"/>
        </w:rPr>
        <w:t>, toda vez que el certificado de origen es un acto administrativo que se rige por la norma comunitaria y el ordenamiento jurídico de la ALADI</w:t>
      </w:r>
      <w:r w:rsidR="00ED0EF5" w:rsidRPr="00F06396">
        <w:rPr>
          <w:rFonts w:cs="Arial"/>
          <w:bCs/>
          <w:sz w:val="22"/>
          <w:szCs w:val="22"/>
        </w:rPr>
        <w:t xml:space="preserve">, e implicaría señalar que </w:t>
      </w:r>
      <w:r w:rsidR="00034A10" w:rsidRPr="00F06396">
        <w:rPr>
          <w:rFonts w:cs="Arial"/>
          <w:bCs/>
          <w:sz w:val="22"/>
          <w:szCs w:val="22"/>
        </w:rPr>
        <w:t>el procedimiento INTA tiene preeminencia frente al ordenamiento jurídico andino.</w:t>
      </w:r>
      <w:r w:rsidRPr="00F06396">
        <w:rPr>
          <w:rFonts w:cs="Arial"/>
          <w:bCs/>
          <w:sz w:val="22"/>
          <w:szCs w:val="22"/>
        </w:rPr>
        <w:t xml:space="preserve"> </w:t>
      </w:r>
      <w:r w:rsidR="00ED0EF5" w:rsidRPr="00F06396">
        <w:rPr>
          <w:rFonts w:cs="Arial"/>
          <w:bCs/>
          <w:sz w:val="22"/>
          <w:szCs w:val="22"/>
        </w:rPr>
        <w:t>Señala en esta línea q</w:t>
      </w:r>
      <w:r w:rsidR="00034A10" w:rsidRPr="00F06396">
        <w:rPr>
          <w:rFonts w:cs="Arial"/>
          <w:bCs/>
          <w:sz w:val="22"/>
          <w:szCs w:val="22"/>
        </w:rPr>
        <w:t xml:space="preserve">ue la Decisión 416 no </w:t>
      </w:r>
      <w:r w:rsidR="00ED0EF5" w:rsidRPr="00F06396">
        <w:rPr>
          <w:rFonts w:cs="Arial"/>
          <w:bCs/>
          <w:sz w:val="22"/>
          <w:szCs w:val="22"/>
        </w:rPr>
        <w:t>exige</w:t>
      </w:r>
      <w:r w:rsidR="00034A10" w:rsidRPr="00F06396">
        <w:rPr>
          <w:rFonts w:cs="Arial"/>
          <w:bCs/>
          <w:sz w:val="22"/>
          <w:szCs w:val="22"/>
        </w:rPr>
        <w:t xml:space="preserve"> que en los casos de enmienda de certificados de origen deba indica</w:t>
      </w:r>
      <w:r w:rsidR="00ED0EF5" w:rsidRPr="00F06396">
        <w:rPr>
          <w:rFonts w:cs="Arial"/>
          <w:bCs/>
          <w:sz w:val="22"/>
          <w:szCs w:val="22"/>
        </w:rPr>
        <w:t>rse</w:t>
      </w:r>
      <w:r w:rsidR="009A0D68" w:rsidRPr="00F06396">
        <w:rPr>
          <w:rFonts w:cs="Arial"/>
          <w:bCs/>
          <w:sz w:val="22"/>
          <w:szCs w:val="22"/>
        </w:rPr>
        <w:t xml:space="preserve"> </w:t>
      </w:r>
      <w:r w:rsidR="00034A10" w:rsidRPr="00F06396">
        <w:rPr>
          <w:rFonts w:cs="Arial"/>
          <w:bCs/>
          <w:sz w:val="22"/>
          <w:szCs w:val="22"/>
        </w:rPr>
        <w:t>en el rubro de observaciones</w:t>
      </w:r>
      <w:r w:rsidR="00ED0EF5" w:rsidRPr="00F06396">
        <w:rPr>
          <w:rFonts w:cs="Arial"/>
          <w:bCs/>
          <w:sz w:val="22"/>
          <w:szCs w:val="22"/>
        </w:rPr>
        <w:t xml:space="preserve"> el acuerdo correspondiente y </w:t>
      </w:r>
      <w:r w:rsidRPr="00F06396">
        <w:rPr>
          <w:rFonts w:cs="Arial"/>
          <w:bCs/>
          <w:sz w:val="22"/>
          <w:szCs w:val="22"/>
        </w:rPr>
        <w:t xml:space="preserve">que </w:t>
      </w:r>
      <w:r w:rsidR="00ED0EF5" w:rsidRPr="00F06396">
        <w:rPr>
          <w:rFonts w:cs="Arial"/>
          <w:bCs/>
          <w:sz w:val="22"/>
          <w:szCs w:val="22"/>
        </w:rPr>
        <w:t xml:space="preserve">no aplica </w:t>
      </w:r>
      <w:r w:rsidR="00034A10" w:rsidRPr="00F06396">
        <w:rPr>
          <w:rFonts w:cs="Arial"/>
          <w:bCs/>
          <w:sz w:val="22"/>
          <w:szCs w:val="22"/>
        </w:rPr>
        <w:t>la figura del complemento indispensable, puesto que los procedimientos y requisitos relacionados a la expedición y enmienda de los certificados de origen se encuentran regulados en las decisiones 416 y 417.</w:t>
      </w:r>
    </w:p>
    <w:p w14:paraId="1FE0B2C3" w14:textId="77777777" w:rsidR="00034A10" w:rsidRPr="00F06396" w:rsidRDefault="00034A10" w:rsidP="00125988">
      <w:pPr>
        <w:pStyle w:val="Prrafodelista"/>
        <w:spacing w:line="240" w:lineRule="auto"/>
        <w:rPr>
          <w:rFonts w:cs="Arial"/>
          <w:bCs/>
          <w:sz w:val="22"/>
          <w:szCs w:val="22"/>
        </w:rPr>
      </w:pPr>
    </w:p>
    <w:p w14:paraId="0A36A860" w14:textId="77777777" w:rsidR="00034A10" w:rsidRPr="00F06396" w:rsidRDefault="009A0D68" w:rsidP="00125988">
      <w:pPr>
        <w:pStyle w:val="Prrafodelista"/>
        <w:widowControl/>
        <w:numPr>
          <w:ilvl w:val="0"/>
          <w:numId w:val="35"/>
        </w:numPr>
        <w:adjustRightInd/>
        <w:spacing w:line="240" w:lineRule="auto"/>
        <w:ind w:left="-12" w:hanging="357"/>
        <w:textAlignment w:val="auto"/>
        <w:rPr>
          <w:rFonts w:cs="Arial"/>
          <w:bCs/>
          <w:sz w:val="22"/>
          <w:szCs w:val="22"/>
        </w:rPr>
      </w:pPr>
      <w:r w:rsidRPr="00F06396">
        <w:rPr>
          <w:rFonts w:cs="Arial"/>
          <w:bCs/>
          <w:sz w:val="22"/>
          <w:szCs w:val="22"/>
        </w:rPr>
        <w:t>Cita</w:t>
      </w:r>
      <w:r w:rsidR="006750BE" w:rsidRPr="00F06396">
        <w:rPr>
          <w:rFonts w:cs="Arial"/>
          <w:bCs/>
          <w:sz w:val="22"/>
          <w:szCs w:val="22"/>
        </w:rPr>
        <w:t>n</w:t>
      </w:r>
      <w:r w:rsidR="00F41E3C" w:rsidRPr="00F06396">
        <w:rPr>
          <w:rFonts w:cs="Arial"/>
          <w:bCs/>
          <w:sz w:val="22"/>
          <w:szCs w:val="22"/>
        </w:rPr>
        <w:t xml:space="preserve"> de esta manera,</w:t>
      </w:r>
      <w:r w:rsidRPr="00F06396">
        <w:rPr>
          <w:rFonts w:cs="Arial"/>
          <w:bCs/>
          <w:sz w:val="22"/>
          <w:szCs w:val="22"/>
        </w:rPr>
        <w:t xml:space="preserve"> jurisprudencia del Tribunal Andino que considera</w:t>
      </w:r>
      <w:r w:rsidR="006750BE" w:rsidRPr="00F06396">
        <w:rPr>
          <w:rFonts w:cs="Arial"/>
          <w:bCs/>
          <w:sz w:val="22"/>
          <w:szCs w:val="22"/>
        </w:rPr>
        <w:t>n</w:t>
      </w:r>
      <w:r w:rsidRPr="00F06396">
        <w:rPr>
          <w:rFonts w:cs="Arial"/>
          <w:bCs/>
          <w:sz w:val="22"/>
          <w:szCs w:val="22"/>
        </w:rPr>
        <w:t xml:space="preserve"> aplicable al presente caso, y concluye</w:t>
      </w:r>
      <w:r w:rsidR="006750BE" w:rsidRPr="00F06396">
        <w:rPr>
          <w:rFonts w:cs="Arial"/>
          <w:bCs/>
          <w:sz w:val="22"/>
          <w:szCs w:val="22"/>
        </w:rPr>
        <w:t>n</w:t>
      </w:r>
      <w:r w:rsidRPr="00F06396">
        <w:rPr>
          <w:rFonts w:cs="Arial"/>
          <w:bCs/>
          <w:sz w:val="22"/>
          <w:szCs w:val="22"/>
        </w:rPr>
        <w:t xml:space="preserve"> señalando que el requerimiento efectuado por la SUNAT, a través del procedimiento INTA-PE.01.11 versión 2, conllevaría a un incumplimiento del ordenamiento jurídico andino, al establecer requisitos que van más allá </w:t>
      </w:r>
      <w:r w:rsidR="00F41E3C" w:rsidRPr="00F06396">
        <w:rPr>
          <w:rFonts w:cs="Arial"/>
          <w:bCs/>
          <w:sz w:val="22"/>
          <w:szCs w:val="22"/>
        </w:rPr>
        <w:t>de</w:t>
      </w:r>
      <w:r w:rsidRPr="00F06396">
        <w:rPr>
          <w:rFonts w:cs="Arial"/>
          <w:bCs/>
          <w:sz w:val="22"/>
          <w:szCs w:val="22"/>
        </w:rPr>
        <w:t xml:space="preserve"> lo dispuesto en el mismo.</w:t>
      </w:r>
    </w:p>
    <w:p w14:paraId="6DE633ED" w14:textId="77777777" w:rsidR="00265302" w:rsidRPr="00F06396" w:rsidRDefault="00265302" w:rsidP="00125988">
      <w:pPr>
        <w:pStyle w:val="Prrafodelista"/>
        <w:spacing w:line="240" w:lineRule="auto"/>
        <w:rPr>
          <w:rFonts w:cs="Arial"/>
          <w:bCs/>
          <w:sz w:val="22"/>
          <w:szCs w:val="22"/>
        </w:rPr>
      </w:pPr>
    </w:p>
    <w:p w14:paraId="33630F1F" w14:textId="77777777" w:rsidR="00265302" w:rsidRPr="00F06396" w:rsidRDefault="00F41E3C" w:rsidP="00125988">
      <w:pPr>
        <w:pStyle w:val="Prrafodelista"/>
        <w:widowControl/>
        <w:numPr>
          <w:ilvl w:val="0"/>
          <w:numId w:val="35"/>
        </w:numPr>
        <w:adjustRightInd/>
        <w:spacing w:line="240" w:lineRule="auto"/>
        <w:ind w:left="-12" w:hanging="357"/>
        <w:textAlignment w:val="auto"/>
        <w:rPr>
          <w:rFonts w:cs="Arial"/>
          <w:bCs/>
          <w:sz w:val="22"/>
          <w:szCs w:val="22"/>
        </w:rPr>
      </w:pPr>
      <w:r w:rsidRPr="00F06396">
        <w:rPr>
          <w:rFonts w:cs="Arial"/>
          <w:bCs/>
          <w:sz w:val="22"/>
          <w:szCs w:val="22"/>
        </w:rPr>
        <w:t>Precisa</w:t>
      </w:r>
      <w:r w:rsidR="006750BE" w:rsidRPr="00F06396">
        <w:rPr>
          <w:rFonts w:cs="Arial"/>
          <w:bCs/>
          <w:sz w:val="22"/>
          <w:szCs w:val="22"/>
        </w:rPr>
        <w:t>n</w:t>
      </w:r>
      <w:r w:rsidR="00265302" w:rsidRPr="00F06396">
        <w:rPr>
          <w:rFonts w:cs="Arial"/>
          <w:bCs/>
          <w:sz w:val="22"/>
          <w:szCs w:val="22"/>
        </w:rPr>
        <w:t xml:space="preserve"> que el Tribunal Fiscal</w:t>
      </w:r>
      <w:r w:rsidRPr="00F06396">
        <w:rPr>
          <w:rFonts w:cs="Arial"/>
          <w:bCs/>
          <w:sz w:val="22"/>
          <w:szCs w:val="22"/>
        </w:rPr>
        <w:t xml:space="preserve">, </w:t>
      </w:r>
      <w:r w:rsidR="00265302" w:rsidRPr="00F06396">
        <w:rPr>
          <w:rFonts w:cs="Arial"/>
          <w:bCs/>
          <w:sz w:val="22"/>
          <w:szCs w:val="22"/>
        </w:rPr>
        <w:t>a diferencia de la SUNAT</w:t>
      </w:r>
      <w:r w:rsidR="00CB752D" w:rsidRPr="00F06396">
        <w:rPr>
          <w:rFonts w:cs="Arial"/>
          <w:bCs/>
          <w:sz w:val="22"/>
          <w:szCs w:val="22"/>
        </w:rPr>
        <w:t xml:space="preserve"> sí ha reconocido que se deben hacerse extensivas las preferencias otorgadas en el marco de la ARAM 1, en virtud a lo expuesto en el artículo 139 del Acuerdo de Cartagena, sin embargo, precisa que se requiere la aplicación del INTA-PE.01.11 versión 2.</w:t>
      </w:r>
    </w:p>
    <w:p w14:paraId="7A47F432" w14:textId="77777777" w:rsidR="00352368" w:rsidRPr="00F06396" w:rsidRDefault="00352368" w:rsidP="00352368">
      <w:pPr>
        <w:pStyle w:val="Prrafodelista"/>
        <w:rPr>
          <w:rFonts w:cs="Arial"/>
          <w:bCs/>
          <w:sz w:val="22"/>
          <w:szCs w:val="22"/>
        </w:rPr>
      </w:pPr>
    </w:p>
    <w:p w14:paraId="35701D7F" w14:textId="77777777" w:rsidR="002844C2" w:rsidRPr="00F06396" w:rsidRDefault="00352368" w:rsidP="00125988">
      <w:pPr>
        <w:pStyle w:val="Prrafodelista"/>
        <w:widowControl/>
        <w:numPr>
          <w:ilvl w:val="0"/>
          <w:numId w:val="35"/>
        </w:numPr>
        <w:adjustRightInd/>
        <w:spacing w:line="240" w:lineRule="auto"/>
        <w:ind w:left="-12" w:hanging="357"/>
        <w:textAlignment w:val="auto"/>
        <w:rPr>
          <w:rFonts w:cs="Arial"/>
          <w:bCs/>
          <w:color w:val="000000"/>
          <w:sz w:val="22"/>
          <w:szCs w:val="22"/>
        </w:rPr>
      </w:pPr>
      <w:r w:rsidRPr="00F06396">
        <w:rPr>
          <w:rFonts w:cs="Arial"/>
          <w:bCs/>
          <w:sz w:val="22"/>
          <w:szCs w:val="22"/>
        </w:rPr>
        <w:t>Con relación a las afirmaciones del gobierno del Perú en su contestación</w:t>
      </w:r>
      <w:r w:rsidR="006750BE" w:rsidRPr="00F06396">
        <w:rPr>
          <w:rFonts w:cs="Arial"/>
          <w:bCs/>
          <w:sz w:val="22"/>
          <w:szCs w:val="22"/>
        </w:rPr>
        <w:t xml:space="preserve"> y mediante comunicación de fecha </w:t>
      </w:r>
      <w:r w:rsidR="007F6B51" w:rsidRPr="00F06396">
        <w:rPr>
          <w:rFonts w:cs="Arial"/>
          <w:bCs/>
          <w:sz w:val="22"/>
          <w:szCs w:val="22"/>
        </w:rPr>
        <w:t>7 de abril de 2015</w:t>
      </w:r>
      <w:r w:rsidRPr="00F06396">
        <w:rPr>
          <w:rFonts w:cs="Arial"/>
          <w:bCs/>
          <w:sz w:val="22"/>
          <w:szCs w:val="22"/>
        </w:rPr>
        <w:t xml:space="preserve">, </w:t>
      </w:r>
      <w:r w:rsidR="00D52CA6" w:rsidRPr="00F06396">
        <w:rPr>
          <w:rFonts w:cs="Arial"/>
          <w:bCs/>
          <w:sz w:val="22"/>
          <w:szCs w:val="22"/>
        </w:rPr>
        <w:t xml:space="preserve">la empresa Embotelladora Rivera S.A. </w:t>
      </w:r>
      <w:r w:rsidR="00082990" w:rsidRPr="00F06396">
        <w:rPr>
          <w:rFonts w:cs="Arial"/>
          <w:bCs/>
          <w:sz w:val="22"/>
          <w:szCs w:val="22"/>
        </w:rPr>
        <w:t xml:space="preserve">reitera </w:t>
      </w:r>
      <w:r w:rsidR="00F41E3C" w:rsidRPr="00F06396">
        <w:rPr>
          <w:rFonts w:cs="Arial"/>
          <w:bCs/>
          <w:sz w:val="22"/>
          <w:szCs w:val="22"/>
        </w:rPr>
        <w:t>los</w:t>
      </w:r>
      <w:r w:rsidR="00082990" w:rsidRPr="00F06396">
        <w:rPr>
          <w:rFonts w:cs="Arial"/>
          <w:bCs/>
          <w:sz w:val="22"/>
          <w:szCs w:val="22"/>
        </w:rPr>
        <w:t xml:space="preserve"> argumentos expuesto</w:t>
      </w:r>
      <w:r w:rsidR="0003101D" w:rsidRPr="00F06396">
        <w:rPr>
          <w:rFonts w:cs="Arial"/>
          <w:bCs/>
          <w:sz w:val="22"/>
          <w:szCs w:val="22"/>
        </w:rPr>
        <w:t>s</w:t>
      </w:r>
      <w:r w:rsidR="00082990" w:rsidRPr="00F06396">
        <w:rPr>
          <w:rFonts w:cs="Arial"/>
          <w:bCs/>
          <w:sz w:val="22"/>
          <w:szCs w:val="22"/>
        </w:rPr>
        <w:t xml:space="preserve"> en su escrito de reclamo</w:t>
      </w:r>
      <w:r w:rsidR="00F41E3C" w:rsidRPr="00F06396">
        <w:rPr>
          <w:rFonts w:cs="Arial"/>
          <w:bCs/>
          <w:sz w:val="22"/>
          <w:szCs w:val="22"/>
        </w:rPr>
        <w:t xml:space="preserve"> y refiere </w:t>
      </w:r>
      <w:r w:rsidR="00D52CA6" w:rsidRPr="00F06396">
        <w:rPr>
          <w:rFonts w:cs="Arial"/>
          <w:bCs/>
          <w:sz w:val="22"/>
          <w:szCs w:val="22"/>
        </w:rPr>
        <w:t>que en la audiencia explicó que pese a encontrarse vigente el ARAM 1, éste no podía ser invocado por los operadores de comercio exterior pues no figuraba dentro de la relación de acuerdos vigentes y susceptibles de ser invocados ante la SUNAT</w:t>
      </w:r>
      <w:r w:rsidR="00F41E3C" w:rsidRPr="00F06396">
        <w:rPr>
          <w:rFonts w:cs="Arial"/>
          <w:bCs/>
          <w:sz w:val="22"/>
          <w:szCs w:val="22"/>
        </w:rPr>
        <w:t xml:space="preserve">;  </w:t>
      </w:r>
      <w:r w:rsidR="008E2056" w:rsidRPr="00F06396">
        <w:rPr>
          <w:rFonts w:cs="Arial"/>
          <w:bCs/>
          <w:color w:val="000000"/>
          <w:sz w:val="22"/>
          <w:szCs w:val="22"/>
        </w:rPr>
        <w:t>que la solicitud de la aplicación de la preferencia arancelaria se realiza a través de la DUA, tal como lo indica el punto 8 del</w:t>
      </w:r>
      <w:r w:rsidR="008E2056" w:rsidRPr="00F06396">
        <w:rPr>
          <w:rFonts w:cs="Arial"/>
          <w:bCs/>
          <w:sz w:val="22"/>
          <w:szCs w:val="22"/>
        </w:rPr>
        <w:t xml:space="preserve"> INTA-PE.01.11 versión 2</w:t>
      </w:r>
      <w:r w:rsidR="00F41E3C" w:rsidRPr="00F06396">
        <w:rPr>
          <w:rFonts w:cs="Arial"/>
          <w:bCs/>
          <w:sz w:val="22"/>
          <w:szCs w:val="22"/>
        </w:rPr>
        <w:t xml:space="preserve"> y no </w:t>
      </w:r>
      <w:r w:rsidR="008E2056" w:rsidRPr="00F06396">
        <w:rPr>
          <w:rFonts w:cs="Arial"/>
          <w:bCs/>
          <w:sz w:val="22"/>
          <w:szCs w:val="22"/>
        </w:rPr>
        <w:t>en el certificado de origen</w:t>
      </w:r>
      <w:r w:rsidR="00F41E3C" w:rsidRPr="00F06396">
        <w:rPr>
          <w:rFonts w:cs="Arial"/>
          <w:bCs/>
          <w:sz w:val="22"/>
          <w:szCs w:val="22"/>
        </w:rPr>
        <w:t xml:space="preserve">; y que </w:t>
      </w:r>
      <w:r w:rsidR="002844C2" w:rsidRPr="00F06396">
        <w:rPr>
          <w:rFonts w:cs="Arial"/>
          <w:bCs/>
          <w:color w:val="000000"/>
          <w:sz w:val="22"/>
          <w:szCs w:val="22"/>
        </w:rPr>
        <w:t xml:space="preserve">a través del </w:t>
      </w:r>
      <w:r w:rsidR="002844C2" w:rsidRPr="00F06396">
        <w:rPr>
          <w:rFonts w:cs="Arial"/>
          <w:bCs/>
          <w:sz w:val="22"/>
          <w:szCs w:val="22"/>
        </w:rPr>
        <w:t>INTA-PE.01.11 versión 2 se está restringiendo la aplicación del artículo 139 del Acuerdo de Cartagena</w:t>
      </w:r>
      <w:r w:rsidR="00BD6963" w:rsidRPr="00F06396">
        <w:rPr>
          <w:rFonts w:cs="Arial"/>
          <w:bCs/>
          <w:sz w:val="22"/>
          <w:szCs w:val="22"/>
        </w:rPr>
        <w:t>.</w:t>
      </w:r>
    </w:p>
    <w:p w14:paraId="29286A61" w14:textId="77777777" w:rsidR="008E2056" w:rsidRPr="00F06396" w:rsidRDefault="008E2056" w:rsidP="00125988">
      <w:pPr>
        <w:pStyle w:val="NormalWeb"/>
        <w:spacing w:before="0" w:beforeAutospacing="0" w:after="0" w:afterAutospacing="0"/>
        <w:jc w:val="both"/>
        <w:rPr>
          <w:rFonts w:ascii="Arial" w:hAnsi="Arial" w:cs="Arial"/>
          <w:b/>
          <w:bCs/>
          <w:i/>
          <w:color w:val="000000"/>
          <w:sz w:val="22"/>
          <w:szCs w:val="22"/>
        </w:rPr>
      </w:pPr>
    </w:p>
    <w:p w14:paraId="0E85CB88" w14:textId="77777777" w:rsidR="009C10E1" w:rsidRPr="00F06396" w:rsidRDefault="009C10E1" w:rsidP="00125988">
      <w:pPr>
        <w:pStyle w:val="NormalWeb"/>
        <w:spacing w:before="0" w:beforeAutospacing="0" w:after="0" w:afterAutospacing="0"/>
        <w:jc w:val="both"/>
        <w:rPr>
          <w:rFonts w:ascii="Arial" w:hAnsi="Arial" w:cs="Arial"/>
          <w:b/>
          <w:bCs/>
          <w:i/>
          <w:color w:val="000000"/>
          <w:sz w:val="22"/>
          <w:szCs w:val="22"/>
        </w:rPr>
      </w:pPr>
      <w:r w:rsidRPr="00F06396">
        <w:rPr>
          <w:rFonts w:ascii="Arial" w:hAnsi="Arial" w:cs="Arial"/>
          <w:b/>
          <w:bCs/>
          <w:i/>
          <w:color w:val="000000"/>
          <w:sz w:val="22"/>
          <w:szCs w:val="22"/>
        </w:rPr>
        <w:t>Argumentos de</w:t>
      </w:r>
      <w:r w:rsidR="00445859" w:rsidRPr="00F06396">
        <w:rPr>
          <w:rFonts w:ascii="Arial" w:hAnsi="Arial" w:cs="Arial"/>
          <w:b/>
          <w:bCs/>
          <w:i/>
          <w:color w:val="000000"/>
          <w:sz w:val="22"/>
          <w:szCs w:val="22"/>
        </w:rPr>
        <w:t xml:space="preserve"> </w:t>
      </w:r>
      <w:r w:rsidRPr="00F06396">
        <w:rPr>
          <w:rFonts w:ascii="Arial" w:hAnsi="Arial" w:cs="Arial"/>
          <w:b/>
          <w:bCs/>
          <w:i/>
          <w:color w:val="000000"/>
          <w:sz w:val="22"/>
          <w:szCs w:val="22"/>
        </w:rPr>
        <w:t>l</w:t>
      </w:r>
      <w:r w:rsidR="00445859" w:rsidRPr="00F06396">
        <w:rPr>
          <w:rFonts w:ascii="Arial" w:hAnsi="Arial" w:cs="Arial"/>
          <w:b/>
          <w:bCs/>
          <w:i/>
          <w:color w:val="000000"/>
          <w:sz w:val="22"/>
          <w:szCs w:val="22"/>
        </w:rPr>
        <w:t>a Reclamada</w:t>
      </w:r>
      <w:r w:rsidRPr="00F06396">
        <w:rPr>
          <w:rFonts w:ascii="Arial" w:hAnsi="Arial" w:cs="Arial"/>
          <w:b/>
          <w:bCs/>
          <w:i/>
          <w:color w:val="000000"/>
          <w:sz w:val="22"/>
          <w:szCs w:val="22"/>
        </w:rPr>
        <w:t>:</w:t>
      </w:r>
    </w:p>
    <w:p w14:paraId="3DDDCE0A" w14:textId="77777777" w:rsidR="009C10E1" w:rsidRPr="00F06396" w:rsidRDefault="009C10E1" w:rsidP="00125988">
      <w:pPr>
        <w:pStyle w:val="NormalWeb"/>
        <w:spacing w:before="0" w:beforeAutospacing="0" w:after="0" w:afterAutospacing="0"/>
        <w:ind w:left="360"/>
        <w:jc w:val="both"/>
        <w:rPr>
          <w:rFonts w:ascii="Arial" w:hAnsi="Arial" w:cs="Arial"/>
          <w:b/>
          <w:bCs/>
          <w:color w:val="000000"/>
          <w:sz w:val="22"/>
          <w:szCs w:val="22"/>
        </w:rPr>
      </w:pPr>
    </w:p>
    <w:p w14:paraId="013620DD" w14:textId="77777777" w:rsidR="00024DD9" w:rsidRPr="00F06396" w:rsidRDefault="009C10E1" w:rsidP="00CF6878">
      <w:pPr>
        <w:pStyle w:val="Prrafodelista"/>
        <w:widowControl/>
        <w:numPr>
          <w:ilvl w:val="0"/>
          <w:numId w:val="35"/>
        </w:numPr>
        <w:adjustRightInd/>
        <w:spacing w:line="240" w:lineRule="auto"/>
        <w:ind w:left="-12" w:hanging="357"/>
        <w:textAlignment w:val="auto"/>
        <w:rPr>
          <w:rFonts w:cs="Arial"/>
          <w:bCs/>
          <w:color w:val="000000"/>
          <w:sz w:val="22"/>
          <w:szCs w:val="22"/>
        </w:rPr>
      </w:pPr>
      <w:r w:rsidRPr="00F06396">
        <w:rPr>
          <w:rFonts w:cs="Arial"/>
          <w:bCs/>
          <w:color w:val="000000"/>
          <w:sz w:val="22"/>
          <w:szCs w:val="22"/>
        </w:rPr>
        <w:lastRenderedPageBreak/>
        <w:t>Por su parte, el gobierno de</w:t>
      </w:r>
      <w:r w:rsidR="00853FC3" w:rsidRPr="00F06396">
        <w:rPr>
          <w:rFonts w:cs="Arial"/>
          <w:bCs/>
          <w:color w:val="000000"/>
          <w:sz w:val="22"/>
          <w:szCs w:val="22"/>
        </w:rPr>
        <w:t xml:space="preserve">l Perú </w:t>
      </w:r>
      <w:r w:rsidR="00F41E3C" w:rsidRPr="00F06396">
        <w:rPr>
          <w:rFonts w:cs="Arial"/>
          <w:bCs/>
          <w:color w:val="000000"/>
          <w:sz w:val="22"/>
          <w:szCs w:val="22"/>
        </w:rPr>
        <w:t>reconoce</w:t>
      </w:r>
      <w:r w:rsidR="00853FC3" w:rsidRPr="00F06396">
        <w:rPr>
          <w:rFonts w:cs="Arial"/>
          <w:bCs/>
          <w:color w:val="000000"/>
          <w:sz w:val="22"/>
          <w:szCs w:val="22"/>
        </w:rPr>
        <w:t xml:space="preserve"> que </w:t>
      </w:r>
      <w:r w:rsidR="00F41E3C" w:rsidRPr="00F06396">
        <w:rPr>
          <w:rFonts w:cs="Arial"/>
          <w:bCs/>
          <w:color w:val="000000"/>
          <w:sz w:val="22"/>
          <w:szCs w:val="22"/>
        </w:rPr>
        <w:t>es</w:t>
      </w:r>
      <w:r w:rsidR="00853FC3" w:rsidRPr="00F06396">
        <w:rPr>
          <w:rFonts w:cs="Arial"/>
          <w:bCs/>
          <w:color w:val="000000"/>
          <w:sz w:val="22"/>
          <w:szCs w:val="22"/>
        </w:rPr>
        <w:t xml:space="preserve"> parte del ARAM N° 1</w:t>
      </w:r>
      <w:r w:rsidR="00F41E3C" w:rsidRPr="00F06396">
        <w:rPr>
          <w:rFonts w:cs="Arial"/>
          <w:bCs/>
          <w:color w:val="000000"/>
          <w:sz w:val="22"/>
          <w:szCs w:val="22"/>
        </w:rPr>
        <w:t xml:space="preserve"> y que dicho acuerdo </w:t>
      </w:r>
      <w:r w:rsidR="00853FC3" w:rsidRPr="00F06396">
        <w:rPr>
          <w:rFonts w:cs="Arial"/>
          <w:bCs/>
          <w:color w:val="000000"/>
          <w:sz w:val="22"/>
          <w:szCs w:val="22"/>
        </w:rPr>
        <w:t>tiene por objeto establecer condiciones favorables para la participación de Bolivia en el proceso de integración económica de la Asociación Latinoamericana de Integración (ALADI), otorgando a dicho país un tratamiento preferencial efectivo para la colocación de sus productos en los mercados de los Países Miembros</w:t>
      </w:r>
      <w:r w:rsidR="00F41E3C" w:rsidRPr="00F06396">
        <w:rPr>
          <w:rFonts w:cs="Arial"/>
          <w:bCs/>
          <w:color w:val="000000"/>
          <w:sz w:val="22"/>
          <w:szCs w:val="22"/>
        </w:rPr>
        <w:t xml:space="preserve"> disponiendo </w:t>
      </w:r>
      <w:r w:rsidR="00853FC3" w:rsidRPr="00F06396">
        <w:rPr>
          <w:rFonts w:cs="Arial"/>
          <w:bCs/>
          <w:color w:val="000000"/>
          <w:sz w:val="22"/>
          <w:szCs w:val="22"/>
        </w:rPr>
        <w:t xml:space="preserve">la eliminación total de gravámenes aduaneros y demás restricciones que incidan sobre la importación de las mercancías contenidas en su Anexo N° 1, </w:t>
      </w:r>
      <w:r w:rsidR="00F41E3C" w:rsidRPr="00F06396">
        <w:rPr>
          <w:rFonts w:cs="Arial"/>
          <w:bCs/>
          <w:color w:val="000000"/>
          <w:sz w:val="22"/>
          <w:szCs w:val="22"/>
        </w:rPr>
        <w:t xml:space="preserve">incluida </w:t>
      </w:r>
      <w:r w:rsidR="00853FC3" w:rsidRPr="00F06396">
        <w:rPr>
          <w:rFonts w:cs="Arial"/>
          <w:bCs/>
          <w:color w:val="000000"/>
          <w:sz w:val="22"/>
          <w:szCs w:val="22"/>
        </w:rPr>
        <w:t xml:space="preserve">el azúcar originaria de Bolivia. </w:t>
      </w:r>
      <w:r w:rsidR="00F41E3C" w:rsidRPr="00F06396">
        <w:rPr>
          <w:rFonts w:cs="Arial"/>
          <w:bCs/>
          <w:color w:val="000000"/>
          <w:sz w:val="22"/>
          <w:szCs w:val="22"/>
        </w:rPr>
        <w:t>Reconoce, asimismo que de acuerdo al</w:t>
      </w:r>
      <w:r w:rsidR="00853FC3" w:rsidRPr="00F06396">
        <w:rPr>
          <w:rFonts w:cs="Arial"/>
          <w:bCs/>
          <w:color w:val="000000"/>
          <w:sz w:val="22"/>
          <w:szCs w:val="22"/>
        </w:rPr>
        <w:t xml:space="preserve"> pie de página del referido Anexo N° 1 (productos que componen la nómina de apertura de mercados en favor de la República de Bolivia) se establece </w:t>
      </w:r>
      <w:r w:rsidR="00F41E3C" w:rsidRPr="00F06396">
        <w:rPr>
          <w:rFonts w:cs="Arial"/>
          <w:bCs/>
          <w:color w:val="000000"/>
          <w:sz w:val="22"/>
          <w:szCs w:val="22"/>
        </w:rPr>
        <w:t xml:space="preserve">que </w:t>
      </w:r>
      <w:r w:rsidR="00853FC3" w:rsidRPr="00F06396">
        <w:rPr>
          <w:rFonts w:cs="Arial"/>
          <w:bCs/>
          <w:color w:val="000000"/>
          <w:sz w:val="22"/>
          <w:szCs w:val="22"/>
        </w:rPr>
        <w:t>“La apertura de mercado prevista en el presente Acuerdo Regional se ajustará a las condiciones establecidas en el Acuerdo de Cartagena”</w:t>
      </w:r>
      <w:r w:rsidR="00024DD9" w:rsidRPr="00F06396">
        <w:rPr>
          <w:rFonts w:cs="Arial"/>
          <w:bCs/>
          <w:color w:val="000000"/>
          <w:sz w:val="22"/>
          <w:szCs w:val="22"/>
        </w:rPr>
        <w:t xml:space="preserve">, lo cual implica que los beneficios otorgados en el marco del Programa de Liberación del Acuerdo de Cartagena (regulado en la Decisión 414) prevalecen sobre el ARAM N° 1. </w:t>
      </w:r>
    </w:p>
    <w:p w14:paraId="14977FDA" w14:textId="77777777" w:rsidR="00853FC3" w:rsidRPr="00F06396" w:rsidRDefault="00853FC3" w:rsidP="00CF6878">
      <w:pPr>
        <w:pStyle w:val="Prrafodelista"/>
        <w:widowControl/>
        <w:adjustRightInd/>
        <w:spacing w:line="240" w:lineRule="auto"/>
        <w:ind w:left="-12"/>
        <w:textAlignment w:val="auto"/>
        <w:rPr>
          <w:rFonts w:cs="Arial"/>
          <w:bCs/>
          <w:color w:val="000000"/>
          <w:sz w:val="22"/>
          <w:szCs w:val="22"/>
        </w:rPr>
      </w:pPr>
    </w:p>
    <w:p w14:paraId="13107F34" w14:textId="77777777" w:rsidR="00853FC3" w:rsidRPr="00F06396" w:rsidRDefault="00853FC3" w:rsidP="00CF6878">
      <w:pPr>
        <w:pStyle w:val="Prrafodelista"/>
        <w:widowControl/>
        <w:numPr>
          <w:ilvl w:val="0"/>
          <w:numId w:val="35"/>
        </w:numPr>
        <w:adjustRightInd/>
        <w:spacing w:line="240" w:lineRule="auto"/>
        <w:ind w:left="-12" w:hanging="357"/>
        <w:textAlignment w:val="auto"/>
        <w:rPr>
          <w:rFonts w:cs="Arial"/>
          <w:bCs/>
          <w:color w:val="000000"/>
          <w:sz w:val="22"/>
          <w:szCs w:val="22"/>
        </w:rPr>
      </w:pPr>
      <w:r w:rsidRPr="00F06396">
        <w:rPr>
          <w:rFonts w:cs="Arial"/>
          <w:bCs/>
          <w:color w:val="000000"/>
          <w:sz w:val="22"/>
          <w:szCs w:val="22"/>
        </w:rPr>
        <w:t>Refier</w:t>
      </w:r>
      <w:r w:rsidR="00024DD9" w:rsidRPr="00F06396">
        <w:rPr>
          <w:rFonts w:cs="Arial"/>
          <w:bCs/>
          <w:color w:val="000000"/>
          <w:sz w:val="22"/>
          <w:szCs w:val="22"/>
        </w:rPr>
        <w:t xml:space="preserve">e que en el ámbito subregional mediante la </w:t>
      </w:r>
      <w:r w:rsidRPr="00F06396">
        <w:rPr>
          <w:rFonts w:cs="Arial"/>
          <w:bCs/>
          <w:color w:val="000000"/>
          <w:sz w:val="22"/>
          <w:szCs w:val="22"/>
        </w:rPr>
        <w:t>Decisión 414 se estableció un cronograma de desgravación arancelaria progresiva que duró desde 1997 hasta el 2005</w:t>
      </w:r>
      <w:r w:rsidR="00024DD9" w:rsidRPr="00F06396">
        <w:rPr>
          <w:rFonts w:cs="Arial"/>
          <w:bCs/>
          <w:color w:val="000000"/>
          <w:sz w:val="22"/>
          <w:szCs w:val="22"/>
        </w:rPr>
        <w:t xml:space="preserve">, encontrándose totalmente desgravada, </w:t>
      </w:r>
      <w:r w:rsidRPr="00F06396">
        <w:rPr>
          <w:rFonts w:cs="Arial"/>
          <w:bCs/>
          <w:color w:val="000000"/>
          <w:sz w:val="22"/>
          <w:szCs w:val="22"/>
        </w:rPr>
        <w:t xml:space="preserve">a partir del 2006 la importación de toda mercancía originaria de cualquier País Miembro de la CAN. </w:t>
      </w:r>
      <w:r w:rsidR="00024DD9" w:rsidRPr="00F06396">
        <w:rPr>
          <w:rFonts w:cs="Arial"/>
          <w:bCs/>
          <w:color w:val="000000"/>
          <w:sz w:val="22"/>
          <w:szCs w:val="22"/>
        </w:rPr>
        <w:t xml:space="preserve">Al año 2001, fecha </w:t>
      </w:r>
      <w:r w:rsidRPr="00F06396">
        <w:rPr>
          <w:rFonts w:cs="Arial"/>
          <w:bCs/>
          <w:color w:val="000000"/>
          <w:sz w:val="22"/>
          <w:szCs w:val="22"/>
        </w:rPr>
        <w:t xml:space="preserve">en </w:t>
      </w:r>
      <w:r w:rsidR="00024DD9" w:rsidRPr="00F06396">
        <w:rPr>
          <w:rFonts w:cs="Arial"/>
          <w:bCs/>
          <w:color w:val="000000"/>
          <w:sz w:val="22"/>
          <w:szCs w:val="22"/>
        </w:rPr>
        <w:t xml:space="preserve">la </w:t>
      </w:r>
      <w:r w:rsidRPr="00F06396">
        <w:rPr>
          <w:rFonts w:cs="Arial"/>
          <w:bCs/>
          <w:color w:val="000000"/>
          <w:sz w:val="22"/>
          <w:szCs w:val="22"/>
        </w:rPr>
        <w:t xml:space="preserve">que los reclamantes importaron el azúcar originario de Colombia </w:t>
      </w:r>
      <w:r w:rsidR="00024DD9" w:rsidRPr="00F06396">
        <w:rPr>
          <w:rFonts w:cs="Arial"/>
          <w:bCs/>
          <w:color w:val="000000"/>
          <w:sz w:val="22"/>
          <w:szCs w:val="22"/>
        </w:rPr>
        <w:t xml:space="preserve">éste </w:t>
      </w:r>
      <w:r w:rsidRPr="00F06396">
        <w:rPr>
          <w:rFonts w:cs="Arial"/>
          <w:bCs/>
          <w:color w:val="000000"/>
          <w:sz w:val="22"/>
          <w:szCs w:val="22"/>
        </w:rPr>
        <w:t xml:space="preserve">se encontraba con un arancel del 15%. </w:t>
      </w:r>
    </w:p>
    <w:p w14:paraId="7AECA4EC" w14:textId="77777777" w:rsidR="00853FC3" w:rsidRPr="00F06396" w:rsidRDefault="00853FC3" w:rsidP="00CF6878">
      <w:pPr>
        <w:pStyle w:val="Prrafodelista"/>
        <w:widowControl/>
        <w:adjustRightInd/>
        <w:spacing w:line="240" w:lineRule="auto"/>
        <w:ind w:left="-12"/>
        <w:textAlignment w:val="auto"/>
        <w:rPr>
          <w:rFonts w:cs="Arial"/>
          <w:bCs/>
          <w:color w:val="000000"/>
          <w:sz w:val="22"/>
          <w:szCs w:val="22"/>
        </w:rPr>
      </w:pPr>
    </w:p>
    <w:p w14:paraId="637FEEAD" w14:textId="77777777" w:rsidR="009C10E1" w:rsidRPr="00F06396" w:rsidRDefault="00853FC3" w:rsidP="00CF6878">
      <w:pPr>
        <w:pStyle w:val="Prrafodelista"/>
        <w:widowControl/>
        <w:numPr>
          <w:ilvl w:val="0"/>
          <w:numId w:val="35"/>
        </w:numPr>
        <w:adjustRightInd/>
        <w:spacing w:line="240" w:lineRule="auto"/>
        <w:ind w:left="-12" w:hanging="357"/>
        <w:textAlignment w:val="auto"/>
        <w:rPr>
          <w:rFonts w:cs="Arial"/>
          <w:bCs/>
          <w:color w:val="000000"/>
          <w:sz w:val="22"/>
          <w:szCs w:val="22"/>
        </w:rPr>
      </w:pPr>
      <w:r w:rsidRPr="00F06396">
        <w:rPr>
          <w:rFonts w:cs="Arial"/>
          <w:bCs/>
          <w:color w:val="000000"/>
          <w:sz w:val="22"/>
          <w:szCs w:val="22"/>
        </w:rPr>
        <w:t xml:space="preserve">Señala </w:t>
      </w:r>
      <w:r w:rsidR="00024DD9" w:rsidRPr="00F06396">
        <w:rPr>
          <w:rFonts w:cs="Arial"/>
          <w:bCs/>
          <w:color w:val="000000"/>
          <w:sz w:val="22"/>
          <w:szCs w:val="22"/>
        </w:rPr>
        <w:t xml:space="preserve">por otra parte que </w:t>
      </w:r>
      <w:r w:rsidRPr="00F06396">
        <w:rPr>
          <w:rFonts w:cs="Arial"/>
          <w:bCs/>
          <w:color w:val="000000"/>
          <w:sz w:val="22"/>
          <w:szCs w:val="22"/>
        </w:rPr>
        <w:t xml:space="preserve">el artículo 2 de la Decisión 414 únicamente aplica </w:t>
      </w:r>
      <w:r w:rsidR="00024DD9" w:rsidRPr="00F06396">
        <w:rPr>
          <w:rFonts w:cs="Arial"/>
          <w:bCs/>
          <w:color w:val="000000"/>
          <w:sz w:val="22"/>
          <w:szCs w:val="22"/>
        </w:rPr>
        <w:t>a</w:t>
      </w:r>
      <w:r w:rsidRPr="00F06396">
        <w:rPr>
          <w:rFonts w:cs="Arial"/>
          <w:bCs/>
          <w:color w:val="000000"/>
          <w:sz w:val="22"/>
          <w:szCs w:val="22"/>
        </w:rPr>
        <w:t xml:space="preserve"> los acuerdos comerciales bilaterales que otorguen mayores beneficios que el Programa de Liberación del Acuerdo de Cartagena</w:t>
      </w:r>
      <w:r w:rsidR="00024DD9" w:rsidRPr="00F06396">
        <w:rPr>
          <w:rFonts w:cs="Arial"/>
          <w:bCs/>
          <w:color w:val="000000"/>
          <w:sz w:val="22"/>
          <w:szCs w:val="22"/>
        </w:rPr>
        <w:t xml:space="preserve">, siendo que </w:t>
      </w:r>
      <w:r w:rsidRPr="00F06396">
        <w:rPr>
          <w:rFonts w:cs="Arial"/>
          <w:bCs/>
          <w:color w:val="000000"/>
          <w:sz w:val="22"/>
          <w:szCs w:val="22"/>
        </w:rPr>
        <w:t>el ARAM N° 1 se firmó en el marco de un acuerdo regional, por lo que no se cumple la referida condición</w:t>
      </w:r>
      <w:r w:rsidR="00024DD9" w:rsidRPr="00F06396">
        <w:rPr>
          <w:rFonts w:cs="Arial"/>
          <w:bCs/>
          <w:color w:val="000000"/>
          <w:sz w:val="22"/>
          <w:szCs w:val="22"/>
        </w:rPr>
        <w:t>.</w:t>
      </w:r>
    </w:p>
    <w:p w14:paraId="3DF44B86" w14:textId="77777777" w:rsidR="00024DD9" w:rsidRPr="00F06396" w:rsidRDefault="00024DD9" w:rsidP="00CF6878">
      <w:pPr>
        <w:pStyle w:val="Prrafodelista"/>
        <w:spacing w:line="240" w:lineRule="auto"/>
        <w:rPr>
          <w:rFonts w:cs="Arial"/>
          <w:bCs/>
          <w:color w:val="000000"/>
          <w:sz w:val="22"/>
          <w:szCs w:val="22"/>
        </w:rPr>
      </w:pPr>
    </w:p>
    <w:p w14:paraId="60022400" w14:textId="77777777" w:rsidR="00853FC3" w:rsidRPr="00F06396" w:rsidRDefault="00024DD9" w:rsidP="00CF6878">
      <w:pPr>
        <w:pStyle w:val="Prrafodelista"/>
        <w:widowControl/>
        <w:numPr>
          <w:ilvl w:val="0"/>
          <w:numId w:val="35"/>
        </w:numPr>
        <w:adjustRightInd/>
        <w:spacing w:line="240" w:lineRule="auto"/>
        <w:ind w:left="-12" w:hanging="357"/>
        <w:textAlignment w:val="auto"/>
        <w:rPr>
          <w:rFonts w:cs="Arial"/>
          <w:bCs/>
          <w:color w:val="000000"/>
          <w:sz w:val="22"/>
          <w:szCs w:val="22"/>
        </w:rPr>
      </w:pPr>
      <w:r w:rsidRPr="00F06396">
        <w:rPr>
          <w:rFonts w:cs="Arial"/>
          <w:bCs/>
          <w:color w:val="000000"/>
          <w:sz w:val="22"/>
          <w:szCs w:val="22"/>
        </w:rPr>
        <w:t xml:space="preserve">También señala que al margen que el </w:t>
      </w:r>
      <w:r w:rsidR="00853FC3" w:rsidRPr="00F06396">
        <w:rPr>
          <w:rFonts w:cs="Arial"/>
          <w:bCs/>
          <w:color w:val="000000"/>
          <w:sz w:val="22"/>
          <w:szCs w:val="22"/>
        </w:rPr>
        <w:t xml:space="preserve">artículo 139 de Acuerdo de Cartagena </w:t>
      </w:r>
      <w:r w:rsidRPr="00F06396">
        <w:rPr>
          <w:rFonts w:cs="Arial"/>
          <w:bCs/>
          <w:color w:val="000000"/>
          <w:sz w:val="22"/>
          <w:szCs w:val="22"/>
        </w:rPr>
        <w:t xml:space="preserve">tenga un </w:t>
      </w:r>
      <w:r w:rsidR="00853FC3" w:rsidRPr="00F06396">
        <w:rPr>
          <w:rFonts w:cs="Arial"/>
          <w:bCs/>
          <w:color w:val="000000"/>
          <w:sz w:val="22"/>
          <w:szCs w:val="22"/>
        </w:rPr>
        <w:t>carácter inmediato e incondicional</w:t>
      </w:r>
      <w:r w:rsidRPr="00F06396">
        <w:rPr>
          <w:rFonts w:cs="Arial"/>
          <w:bCs/>
          <w:color w:val="000000"/>
          <w:sz w:val="22"/>
          <w:szCs w:val="22"/>
        </w:rPr>
        <w:t xml:space="preserve">, la autoridad aduanera no puede determinar su aplicación de manera unilateral sin que el administrado invoque </w:t>
      </w:r>
      <w:r w:rsidR="00853FC3" w:rsidRPr="00F06396">
        <w:rPr>
          <w:rFonts w:cs="Arial"/>
          <w:bCs/>
          <w:color w:val="000000"/>
          <w:sz w:val="22"/>
          <w:szCs w:val="22"/>
        </w:rPr>
        <w:t xml:space="preserve">el Acuerdo o tratado que otorga la </w:t>
      </w:r>
      <w:r w:rsidRPr="00F06396">
        <w:rPr>
          <w:rFonts w:cs="Arial"/>
          <w:bCs/>
          <w:color w:val="000000"/>
          <w:sz w:val="22"/>
          <w:szCs w:val="22"/>
        </w:rPr>
        <w:t xml:space="preserve">mayor </w:t>
      </w:r>
      <w:r w:rsidR="00853FC3" w:rsidRPr="00F06396">
        <w:rPr>
          <w:rFonts w:cs="Arial"/>
          <w:bCs/>
          <w:color w:val="000000"/>
          <w:sz w:val="22"/>
          <w:szCs w:val="22"/>
        </w:rPr>
        <w:t>ventaja.</w:t>
      </w:r>
      <w:r w:rsidRPr="00F06396">
        <w:rPr>
          <w:rFonts w:cs="Arial"/>
          <w:bCs/>
          <w:color w:val="000000"/>
          <w:sz w:val="22"/>
          <w:szCs w:val="22"/>
        </w:rPr>
        <w:t xml:space="preserve"> Refirió así un caso en que las reclamantes al invocar la </w:t>
      </w:r>
      <w:r w:rsidR="00853FC3" w:rsidRPr="00F06396">
        <w:rPr>
          <w:rFonts w:cs="Arial"/>
          <w:bCs/>
          <w:color w:val="000000"/>
          <w:sz w:val="22"/>
          <w:szCs w:val="22"/>
        </w:rPr>
        <w:t>CNMF</w:t>
      </w:r>
      <w:r w:rsidRPr="00F06396">
        <w:rPr>
          <w:rFonts w:cs="Arial"/>
          <w:bCs/>
          <w:color w:val="000000"/>
          <w:sz w:val="22"/>
          <w:szCs w:val="22"/>
        </w:rPr>
        <w:t xml:space="preserve"> </w:t>
      </w:r>
      <w:r w:rsidR="005718E9" w:rsidRPr="00F06396">
        <w:rPr>
          <w:rFonts w:cs="Arial"/>
          <w:bCs/>
          <w:color w:val="000000"/>
          <w:sz w:val="22"/>
          <w:szCs w:val="22"/>
        </w:rPr>
        <w:t>cumplieron con referir</w:t>
      </w:r>
      <w:r w:rsidRPr="00F06396">
        <w:rPr>
          <w:rFonts w:cs="Arial"/>
          <w:bCs/>
          <w:color w:val="000000"/>
          <w:sz w:val="22"/>
          <w:szCs w:val="22"/>
        </w:rPr>
        <w:t xml:space="preserve"> el Acuerdo correspondiente</w:t>
      </w:r>
      <w:r w:rsidR="00853FC3" w:rsidRPr="00F06396">
        <w:rPr>
          <w:rFonts w:cs="Arial"/>
          <w:bCs/>
          <w:color w:val="000000"/>
          <w:sz w:val="22"/>
          <w:szCs w:val="22"/>
        </w:rPr>
        <w:t>.</w:t>
      </w:r>
    </w:p>
    <w:p w14:paraId="4D2C096A" w14:textId="77777777" w:rsidR="00853FC3" w:rsidRPr="00F06396" w:rsidRDefault="00853FC3" w:rsidP="00CF6878">
      <w:pPr>
        <w:pStyle w:val="Prrafodelista"/>
        <w:spacing w:line="240" w:lineRule="auto"/>
        <w:rPr>
          <w:rFonts w:cs="Arial"/>
          <w:bCs/>
          <w:color w:val="000000"/>
          <w:sz w:val="22"/>
          <w:szCs w:val="22"/>
        </w:rPr>
      </w:pPr>
    </w:p>
    <w:p w14:paraId="2D71F330" w14:textId="77777777" w:rsidR="00920C93" w:rsidRPr="00F06396" w:rsidRDefault="00F63DF1" w:rsidP="00CF6878">
      <w:pPr>
        <w:pStyle w:val="Prrafodelista"/>
        <w:widowControl/>
        <w:numPr>
          <w:ilvl w:val="0"/>
          <w:numId w:val="35"/>
        </w:numPr>
        <w:adjustRightInd/>
        <w:spacing w:line="240" w:lineRule="auto"/>
        <w:ind w:left="-12" w:hanging="357"/>
        <w:textAlignment w:val="auto"/>
        <w:rPr>
          <w:rFonts w:cs="Arial"/>
          <w:bCs/>
          <w:color w:val="000000"/>
          <w:sz w:val="22"/>
          <w:szCs w:val="22"/>
        </w:rPr>
      </w:pPr>
      <w:r w:rsidRPr="00F06396">
        <w:rPr>
          <w:rFonts w:cs="Arial"/>
          <w:bCs/>
          <w:color w:val="000000"/>
          <w:sz w:val="22"/>
          <w:szCs w:val="22"/>
        </w:rPr>
        <w:t xml:space="preserve">En cuanto al principio de complemento indispensable </w:t>
      </w:r>
      <w:r w:rsidR="00A92AB6" w:rsidRPr="00F06396">
        <w:rPr>
          <w:rFonts w:cs="Arial"/>
          <w:bCs/>
          <w:color w:val="000000"/>
          <w:sz w:val="22"/>
          <w:szCs w:val="22"/>
        </w:rPr>
        <w:t>indica</w:t>
      </w:r>
      <w:r w:rsidRPr="00F06396">
        <w:rPr>
          <w:rFonts w:cs="Arial"/>
          <w:bCs/>
          <w:color w:val="000000"/>
          <w:sz w:val="22"/>
          <w:szCs w:val="22"/>
        </w:rPr>
        <w:t xml:space="preserve"> que éste aplica dado que la</w:t>
      </w:r>
      <w:r w:rsidR="00A92AB6" w:rsidRPr="00F06396">
        <w:rPr>
          <w:rFonts w:cs="Arial"/>
          <w:bCs/>
          <w:color w:val="000000"/>
          <w:sz w:val="22"/>
          <w:szCs w:val="22"/>
        </w:rPr>
        <w:t xml:space="preserve"> Decisión no regula la forma de consignar la información específica del acuerdo cuya preferencia se invoca y señala que ello es regulado por</w:t>
      </w:r>
      <w:r w:rsidRPr="00F06396">
        <w:rPr>
          <w:rFonts w:cs="Arial"/>
          <w:bCs/>
          <w:color w:val="000000"/>
          <w:sz w:val="22"/>
          <w:szCs w:val="22"/>
        </w:rPr>
        <w:t xml:space="preserve"> </w:t>
      </w:r>
      <w:r w:rsidR="00020FCC" w:rsidRPr="00F06396">
        <w:rPr>
          <w:rFonts w:cs="Arial"/>
          <w:bCs/>
          <w:color w:val="000000"/>
          <w:sz w:val="22"/>
          <w:szCs w:val="22"/>
        </w:rPr>
        <w:t>la Resolución de Superintendencia Nacional Adjunta de Aduanas N° 000548-2003/SUNAT/A, publicada en el diario oficial El Peruano el 1</w:t>
      </w:r>
      <w:r w:rsidR="007F6B51" w:rsidRPr="00F06396">
        <w:rPr>
          <w:rFonts w:cs="Arial"/>
          <w:bCs/>
          <w:color w:val="000000"/>
          <w:sz w:val="22"/>
          <w:szCs w:val="22"/>
        </w:rPr>
        <w:t>2</w:t>
      </w:r>
      <w:r w:rsidR="00020FCC" w:rsidRPr="00F06396">
        <w:rPr>
          <w:rFonts w:cs="Arial"/>
          <w:bCs/>
          <w:color w:val="000000"/>
          <w:sz w:val="22"/>
          <w:szCs w:val="22"/>
        </w:rPr>
        <w:t xml:space="preserve"> de diciembre de 2003, aprobó el Procedimiento Específico “Aplicación de Preferencias a la Importación de Mercancías de la Comunidad Andina de Naciones” – INTA-PE.01.11 Versión 2 (Procedim</w:t>
      </w:r>
      <w:r w:rsidR="00A92AB6" w:rsidRPr="00F06396">
        <w:rPr>
          <w:rFonts w:cs="Arial"/>
          <w:bCs/>
          <w:color w:val="000000"/>
          <w:sz w:val="22"/>
          <w:szCs w:val="22"/>
        </w:rPr>
        <w:t>iento INTA-PE.01.11 Versión 2).</w:t>
      </w:r>
    </w:p>
    <w:p w14:paraId="078B3D73" w14:textId="77777777" w:rsidR="00A92AB6" w:rsidRPr="00F06396" w:rsidRDefault="00A92AB6" w:rsidP="00CF6878">
      <w:pPr>
        <w:pStyle w:val="Prrafodelista"/>
        <w:widowControl/>
        <w:adjustRightInd/>
        <w:spacing w:line="240" w:lineRule="auto"/>
        <w:ind w:left="-12"/>
        <w:textAlignment w:val="auto"/>
        <w:rPr>
          <w:rFonts w:cs="Arial"/>
          <w:bCs/>
          <w:color w:val="000000"/>
          <w:sz w:val="22"/>
          <w:szCs w:val="22"/>
        </w:rPr>
      </w:pPr>
    </w:p>
    <w:p w14:paraId="03C1236C" w14:textId="77777777" w:rsidR="00020FCC" w:rsidRPr="00F06396" w:rsidRDefault="00020FCC" w:rsidP="00CF6878">
      <w:pPr>
        <w:pStyle w:val="Prrafodelista"/>
        <w:widowControl/>
        <w:numPr>
          <w:ilvl w:val="0"/>
          <w:numId w:val="35"/>
        </w:numPr>
        <w:adjustRightInd/>
        <w:spacing w:line="240" w:lineRule="auto"/>
        <w:ind w:left="-12" w:hanging="357"/>
        <w:textAlignment w:val="auto"/>
        <w:rPr>
          <w:rFonts w:cs="Arial"/>
          <w:bCs/>
          <w:color w:val="000000"/>
          <w:sz w:val="22"/>
          <w:szCs w:val="22"/>
        </w:rPr>
      </w:pPr>
      <w:r w:rsidRPr="00F06396">
        <w:rPr>
          <w:rFonts w:cs="Arial"/>
          <w:bCs/>
          <w:color w:val="000000"/>
          <w:sz w:val="22"/>
          <w:szCs w:val="22"/>
        </w:rPr>
        <w:t>Expone que no existe colisión alguna entre la normativa peruana y la comunitaria, toda vez que el Procedimiento INTA-PE.01.11 Versión 2 al requerir consignar en el rubro “Observaciones” del certificado de origen, el Acuerdo cuya preferencia se solicita, se enmarca dentro de lo dispuesto en el artículo 12 de la Decisión 416</w:t>
      </w:r>
      <w:r w:rsidR="00A92AB6" w:rsidRPr="00F06396">
        <w:rPr>
          <w:rFonts w:cs="Arial"/>
          <w:bCs/>
          <w:color w:val="000000"/>
          <w:sz w:val="22"/>
          <w:szCs w:val="22"/>
        </w:rPr>
        <w:t xml:space="preserve">, posibilitando que </w:t>
      </w:r>
      <w:r w:rsidRPr="00F06396">
        <w:rPr>
          <w:rFonts w:cs="Arial"/>
          <w:bCs/>
          <w:color w:val="000000"/>
          <w:sz w:val="22"/>
          <w:szCs w:val="22"/>
        </w:rPr>
        <w:t>a través del certificado de origen presentado, la autoridad aduanera compruebe el cumplimiento de las normas y requisitos específicos de origen exigidos en el marco del Acuerdo invocado.</w:t>
      </w:r>
    </w:p>
    <w:p w14:paraId="23789405" w14:textId="77777777" w:rsidR="00020FCC" w:rsidRPr="00F06396" w:rsidRDefault="00020FCC" w:rsidP="00125988">
      <w:pPr>
        <w:pStyle w:val="Prrafodelista"/>
        <w:widowControl/>
        <w:adjustRightInd/>
        <w:spacing w:line="240" w:lineRule="auto"/>
        <w:ind w:left="-12"/>
        <w:textAlignment w:val="auto"/>
        <w:rPr>
          <w:rFonts w:cs="Arial"/>
          <w:bCs/>
          <w:color w:val="000000"/>
          <w:sz w:val="22"/>
          <w:szCs w:val="22"/>
        </w:rPr>
      </w:pPr>
    </w:p>
    <w:p w14:paraId="63D3369E" w14:textId="77777777" w:rsidR="00853FC3" w:rsidRPr="00F06396" w:rsidRDefault="0042122B" w:rsidP="00CF6878">
      <w:pPr>
        <w:pStyle w:val="Prrafodelista"/>
        <w:widowControl/>
        <w:numPr>
          <w:ilvl w:val="0"/>
          <w:numId w:val="35"/>
        </w:numPr>
        <w:adjustRightInd/>
        <w:spacing w:line="240" w:lineRule="auto"/>
        <w:ind w:left="-12" w:hanging="357"/>
        <w:textAlignment w:val="auto"/>
        <w:rPr>
          <w:rFonts w:cs="Arial"/>
          <w:bCs/>
          <w:color w:val="000000"/>
          <w:sz w:val="22"/>
          <w:szCs w:val="22"/>
        </w:rPr>
      </w:pPr>
      <w:r w:rsidRPr="00F06396">
        <w:rPr>
          <w:rFonts w:cs="Arial"/>
          <w:bCs/>
          <w:color w:val="000000"/>
          <w:sz w:val="22"/>
          <w:szCs w:val="22"/>
        </w:rPr>
        <w:t xml:space="preserve">Indica que </w:t>
      </w:r>
      <w:r w:rsidR="00020FCC" w:rsidRPr="00F06396">
        <w:rPr>
          <w:rFonts w:cs="Arial"/>
          <w:bCs/>
          <w:color w:val="000000"/>
          <w:sz w:val="22"/>
          <w:szCs w:val="22"/>
        </w:rPr>
        <w:t>tanto el Procedimiento INTA-PE.01.11 Versión 2 cuestionado por las reclamantes, como el Procedimiento INTA-PE.01.11 publicado en el diario oficial El Peruano el 12 de setiembre de 1999, el cual se encontraba vigente al momento de las importaciones realizadas por las reclamantes, establecen que para acogerse a la CNMF, el Certificado de Origen debe observar los requerimientos determinados en la Decisión 416 pudiendo optar como norma de origen la del Acuerdo de ALADI invocado.</w:t>
      </w:r>
    </w:p>
    <w:p w14:paraId="38E32B15" w14:textId="77777777" w:rsidR="00497C11" w:rsidRPr="00F06396" w:rsidRDefault="00497C11" w:rsidP="00CF6878">
      <w:pPr>
        <w:pStyle w:val="Prrafodelista"/>
        <w:spacing w:line="240" w:lineRule="auto"/>
        <w:rPr>
          <w:rFonts w:cs="Arial"/>
          <w:bCs/>
          <w:color w:val="000000"/>
          <w:sz w:val="22"/>
          <w:szCs w:val="22"/>
        </w:rPr>
      </w:pPr>
    </w:p>
    <w:p w14:paraId="7DF89CBE" w14:textId="77777777" w:rsidR="0042122B" w:rsidRPr="00F06396" w:rsidRDefault="0042122B" w:rsidP="00CF6878">
      <w:pPr>
        <w:pStyle w:val="Prrafodelista"/>
        <w:widowControl/>
        <w:numPr>
          <w:ilvl w:val="0"/>
          <w:numId w:val="35"/>
        </w:numPr>
        <w:adjustRightInd/>
        <w:spacing w:line="240" w:lineRule="auto"/>
        <w:ind w:left="-12" w:hanging="357"/>
        <w:textAlignment w:val="auto"/>
        <w:rPr>
          <w:rFonts w:cs="Arial"/>
          <w:bCs/>
          <w:color w:val="000000"/>
          <w:sz w:val="22"/>
          <w:szCs w:val="22"/>
        </w:rPr>
      </w:pPr>
      <w:r w:rsidRPr="00F06396">
        <w:rPr>
          <w:rFonts w:cs="Arial"/>
          <w:bCs/>
          <w:color w:val="000000"/>
          <w:sz w:val="22"/>
          <w:szCs w:val="22"/>
        </w:rPr>
        <w:lastRenderedPageBreak/>
        <w:t>Manifiesta que en el caso de las importaciones efectuadas por los reclamantes de las mercancías procedentes de Colombia</w:t>
      </w:r>
      <w:r w:rsidR="005718E9" w:rsidRPr="00F06396">
        <w:rPr>
          <w:rFonts w:cs="Arial"/>
          <w:bCs/>
          <w:color w:val="000000"/>
          <w:sz w:val="22"/>
          <w:szCs w:val="22"/>
        </w:rPr>
        <w:t>,</w:t>
      </w:r>
      <w:r w:rsidRPr="00F06396">
        <w:rPr>
          <w:rFonts w:cs="Arial"/>
          <w:bCs/>
          <w:color w:val="000000"/>
          <w:sz w:val="22"/>
          <w:szCs w:val="22"/>
        </w:rPr>
        <w:t xml:space="preserve"> la autoridad aduanera peruana determinó que si bien se cumplió con los requisitos de negociación y expedición directa, respecto al requisito de origen debe tenerse en consideración las reglas que regulan la “declaración y certificación de origen”, las cuales están referidas a la forma como se debe probar que la mercancía cumple con determinada condición para ser considerada originaria, lo cual debe ser a su vez comprobado por la autoridad aduanera a efectos de hacer efectivo el trato NMF. De otro modo, la autoridad aduanera de un País Miembro no podría o no contaría con la información necesaria para aplicar la CNMF del artículo 139 del Acuerdo de Cartagena.</w:t>
      </w:r>
    </w:p>
    <w:p w14:paraId="45A2163D" w14:textId="77777777" w:rsidR="0042122B" w:rsidRPr="00F06396" w:rsidRDefault="0042122B" w:rsidP="00125988">
      <w:pPr>
        <w:pStyle w:val="Prrafodelista"/>
        <w:widowControl/>
        <w:adjustRightInd/>
        <w:spacing w:line="240" w:lineRule="auto"/>
        <w:ind w:left="-12"/>
        <w:textAlignment w:val="auto"/>
        <w:rPr>
          <w:rFonts w:cs="Arial"/>
          <w:bCs/>
          <w:color w:val="000000"/>
          <w:sz w:val="22"/>
          <w:szCs w:val="22"/>
        </w:rPr>
      </w:pPr>
    </w:p>
    <w:p w14:paraId="763C0DAE" w14:textId="77777777" w:rsidR="0042122B" w:rsidRPr="00F06396" w:rsidRDefault="0042122B" w:rsidP="005718E9">
      <w:pPr>
        <w:pStyle w:val="Prrafodelista"/>
        <w:widowControl/>
        <w:numPr>
          <w:ilvl w:val="0"/>
          <w:numId w:val="35"/>
        </w:numPr>
        <w:adjustRightInd/>
        <w:spacing w:line="240" w:lineRule="auto"/>
        <w:ind w:left="-12" w:hanging="357"/>
        <w:textAlignment w:val="auto"/>
        <w:rPr>
          <w:rFonts w:cs="Arial"/>
          <w:bCs/>
          <w:color w:val="000000"/>
          <w:sz w:val="22"/>
          <w:szCs w:val="22"/>
        </w:rPr>
      </w:pPr>
      <w:r w:rsidRPr="00F06396">
        <w:rPr>
          <w:rFonts w:cs="Arial"/>
          <w:bCs/>
          <w:color w:val="000000"/>
          <w:sz w:val="22"/>
          <w:szCs w:val="22"/>
        </w:rPr>
        <w:t xml:space="preserve">Señala que en </w:t>
      </w:r>
      <w:r w:rsidR="005718E9" w:rsidRPr="00F06396">
        <w:rPr>
          <w:rFonts w:cs="Arial"/>
          <w:bCs/>
          <w:color w:val="000000"/>
          <w:sz w:val="22"/>
          <w:szCs w:val="22"/>
        </w:rPr>
        <w:t>otros</w:t>
      </w:r>
      <w:r w:rsidRPr="00F06396">
        <w:rPr>
          <w:rFonts w:cs="Arial"/>
          <w:bCs/>
          <w:color w:val="000000"/>
          <w:sz w:val="22"/>
          <w:szCs w:val="22"/>
        </w:rPr>
        <w:t xml:space="preserve"> certificados de origen presentados por los reclamantes con su escrito se observa que sí se consignó en el campo 11 Observaciones el Acuerdo cuya preferencia se invocó, al amparo del artículo 155 (hoy 139) del Acuerdo de Cartagena.</w:t>
      </w:r>
    </w:p>
    <w:p w14:paraId="78E5BF26" w14:textId="77777777" w:rsidR="0042122B" w:rsidRPr="00F06396" w:rsidRDefault="0042122B" w:rsidP="00125988">
      <w:pPr>
        <w:tabs>
          <w:tab w:val="left" w:pos="851"/>
        </w:tabs>
        <w:spacing w:line="240" w:lineRule="auto"/>
        <w:ind w:left="709" w:hanging="425"/>
        <w:rPr>
          <w:rFonts w:cs="Arial"/>
          <w:sz w:val="22"/>
          <w:szCs w:val="22"/>
        </w:rPr>
      </w:pPr>
    </w:p>
    <w:p w14:paraId="20E30739" w14:textId="77777777" w:rsidR="0042122B" w:rsidRPr="00F06396" w:rsidRDefault="0042122B" w:rsidP="00125988">
      <w:pPr>
        <w:pStyle w:val="Prrafodelista"/>
        <w:widowControl/>
        <w:numPr>
          <w:ilvl w:val="0"/>
          <w:numId w:val="35"/>
        </w:numPr>
        <w:adjustRightInd/>
        <w:spacing w:line="240" w:lineRule="auto"/>
        <w:ind w:left="-12" w:hanging="357"/>
        <w:textAlignment w:val="auto"/>
        <w:rPr>
          <w:rFonts w:cs="Arial"/>
          <w:bCs/>
          <w:color w:val="000000"/>
          <w:sz w:val="22"/>
          <w:szCs w:val="22"/>
        </w:rPr>
      </w:pPr>
      <w:r w:rsidRPr="00F06396">
        <w:rPr>
          <w:rFonts w:cs="Arial"/>
          <w:bCs/>
          <w:color w:val="000000"/>
          <w:sz w:val="22"/>
          <w:szCs w:val="22"/>
        </w:rPr>
        <w:t xml:space="preserve">Indica que el hecho que la legislación nacional considere como requisito formal del certificado de origen </w:t>
      </w:r>
      <w:r w:rsidR="005718E9" w:rsidRPr="00F06396">
        <w:rPr>
          <w:rFonts w:cs="Arial"/>
          <w:bCs/>
          <w:color w:val="000000"/>
          <w:sz w:val="22"/>
          <w:szCs w:val="22"/>
        </w:rPr>
        <w:t xml:space="preserve">el </w:t>
      </w:r>
      <w:r w:rsidRPr="00F06396">
        <w:rPr>
          <w:rFonts w:cs="Arial"/>
          <w:bCs/>
          <w:color w:val="000000"/>
          <w:sz w:val="22"/>
          <w:szCs w:val="22"/>
        </w:rPr>
        <w:t>consignar el Acuerdo cuya preferencia se invoca, no implica que el ordenamiento jurídico nacional transgreda el ordenamiento jurídico comunitario.</w:t>
      </w:r>
    </w:p>
    <w:p w14:paraId="4098D745" w14:textId="77777777" w:rsidR="0042122B" w:rsidRPr="00F06396" w:rsidRDefault="0042122B" w:rsidP="00125988">
      <w:pPr>
        <w:pStyle w:val="Prrafodelista"/>
        <w:widowControl/>
        <w:adjustRightInd/>
        <w:spacing w:line="240" w:lineRule="auto"/>
        <w:ind w:left="-12"/>
        <w:textAlignment w:val="auto"/>
        <w:rPr>
          <w:rFonts w:cs="Arial"/>
          <w:bCs/>
          <w:color w:val="000000"/>
          <w:sz w:val="22"/>
          <w:szCs w:val="22"/>
        </w:rPr>
      </w:pPr>
    </w:p>
    <w:p w14:paraId="4287496F" w14:textId="77777777" w:rsidR="0042122B" w:rsidRPr="00F06396" w:rsidRDefault="0042122B" w:rsidP="00125988">
      <w:pPr>
        <w:pStyle w:val="Prrafodelista"/>
        <w:widowControl/>
        <w:numPr>
          <w:ilvl w:val="0"/>
          <w:numId w:val="35"/>
        </w:numPr>
        <w:adjustRightInd/>
        <w:spacing w:line="240" w:lineRule="auto"/>
        <w:ind w:left="-12" w:hanging="357"/>
        <w:textAlignment w:val="auto"/>
        <w:rPr>
          <w:rFonts w:cs="Arial"/>
          <w:bCs/>
          <w:color w:val="000000"/>
          <w:sz w:val="22"/>
          <w:szCs w:val="22"/>
        </w:rPr>
      </w:pPr>
      <w:r w:rsidRPr="00F06396">
        <w:rPr>
          <w:rFonts w:cs="Arial"/>
          <w:bCs/>
          <w:color w:val="000000"/>
          <w:sz w:val="22"/>
          <w:szCs w:val="22"/>
        </w:rPr>
        <w:t>Precisa que este requisito ya no se incorpora en el Procedimiento INTA-PE.01.11 Versión 3, toda vez que no resulta necesario al haberse desgravado totalmente las mercancías.</w:t>
      </w:r>
    </w:p>
    <w:p w14:paraId="5B18F938" w14:textId="77777777" w:rsidR="0042122B" w:rsidRPr="00F06396" w:rsidRDefault="0042122B" w:rsidP="00125988">
      <w:pPr>
        <w:pStyle w:val="Prrafodelista"/>
        <w:widowControl/>
        <w:adjustRightInd/>
        <w:spacing w:line="240" w:lineRule="auto"/>
        <w:ind w:left="-12"/>
        <w:textAlignment w:val="auto"/>
        <w:rPr>
          <w:rFonts w:cs="Arial"/>
          <w:bCs/>
          <w:color w:val="000000"/>
          <w:sz w:val="22"/>
          <w:szCs w:val="22"/>
        </w:rPr>
      </w:pPr>
    </w:p>
    <w:p w14:paraId="681DC7A3" w14:textId="77777777" w:rsidR="0042122B" w:rsidRPr="00F06396" w:rsidRDefault="0042122B" w:rsidP="00125988">
      <w:pPr>
        <w:pStyle w:val="Prrafodelista"/>
        <w:widowControl/>
        <w:numPr>
          <w:ilvl w:val="0"/>
          <w:numId w:val="35"/>
        </w:numPr>
        <w:adjustRightInd/>
        <w:spacing w:line="240" w:lineRule="auto"/>
        <w:ind w:left="-12" w:hanging="357"/>
        <w:textAlignment w:val="auto"/>
        <w:rPr>
          <w:rFonts w:cs="Arial"/>
          <w:bCs/>
          <w:color w:val="000000"/>
          <w:sz w:val="22"/>
          <w:szCs w:val="22"/>
        </w:rPr>
      </w:pPr>
      <w:r w:rsidRPr="00F06396">
        <w:rPr>
          <w:rFonts w:cs="Arial"/>
          <w:bCs/>
          <w:color w:val="000000"/>
          <w:sz w:val="22"/>
          <w:szCs w:val="22"/>
        </w:rPr>
        <w:t>Finalmente, manifiesta que carece de fundamento la aseveración de las reclamantes en el sentido de que la República del Perú está incumpliendo lo dispuesto en la Decisión 416.</w:t>
      </w:r>
    </w:p>
    <w:p w14:paraId="5980A070" w14:textId="77777777" w:rsidR="003147FA" w:rsidRPr="00F06396" w:rsidRDefault="003147FA" w:rsidP="00125988">
      <w:pPr>
        <w:pStyle w:val="Prrafodelista"/>
        <w:spacing w:line="240" w:lineRule="auto"/>
        <w:rPr>
          <w:rFonts w:cs="Arial"/>
          <w:bCs/>
          <w:color w:val="000000"/>
          <w:sz w:val="22"/>
          <w:szCs w:val="22"/>
        </w:rPr>
      </w:pPr>
    </w:p>
    <w:p w14:paraId="3697DBEE" w14:textId="77777777" w:rsidR="009C10E1" w:rsidRPr="00F06396" w:rsidRDefault="009C10E1" w:rsidP="00125988">
      <w:pPr>
        <w:pStyle w:val="Prrafodelista"/>
        <w:widowControl/>
        <w:numPr>
          <w:ilvl w:val="0"/>
          <w:numId w:val="34"/>
        </w:numPr>
        <w:adjustRightInd/>
        <w:spacing w:line="240" w:lineRule="auto"/>
        <w:ind w:left="0" w:hanging="426"/>
        <w:textAlignment w:val="auto"/>
        <w:rPr>
          <w:rFonts w:cs="Arial"/>
          <w:b/>
          <w:sz w:val="22"/>
          <w:szCs w:val="22"/>
        </w:rPr>
      </w:pPr>
      <w:r w:rsidRPr="00F06396">
        <w:rPr>
          <w:rFonts w:cs="Arial"/>
          <w:b/>
          <w:sz w:val="22"/>
          <w:szCs w:val="22"/>
        </w:rPr>
        <w:t>EXPOSICIÓN DE LOS MOTIVOS DE LA SECRETARÍA GENERAL SOBRE EL ESTADO DE CUMPLIMIENTO DE LAS OBLIGACIONES COMUNITARIAS.-</w:t>
      </w:r>
    </w:p>
    <w:p w14:paraId="7ADCFADF" w14:textId="77777777" w:rsidR="009C10E1" w:rsidRPr="00F06396" w:rsidRDefault="009C10E1" w:rsidP="00125988">
      <w:pPr>
        <w:pStyle w:val="Prrafodelista"/>
        <w:spacing w:line="240" w:lineRule="auto"/>
        <w:ind w:left="1080"/>
        <w:rPr>
          <w:rFonts w:cs="Arial"/>
          <w:b/>
          <w:bCs/>
          <w:color w:val="000000"/>
          <w:sz w:val="22"/>
          <w:szCs w:val="22"/>
        </w:rPr>
      </w:pPr>
    </w:p>
    <w:p w14:paraId="0A912CCF" w14:textId="77777777" w:rsidR="005718E9" w:rsidRPr="00F06396" w:rsidRDefault="005718E9" w:rsidP="00125988">
      <w:pPr>
        <w:pStyle w:val="Prrafodelista"/>
        <w:widowControl/>
        <w:numPr>
          <w:ilvl w:val="0"/>
          <w:numId w:val="35"/>
        </w:numPr>
        <w:adjustRightInd/>
        <w:spacing w:line="240" w:lineRule="auto"/>
        <w:ind w:left="-12" w:hanging="357"/>
        <w:textAlignment w:val="auto"/>
        <w:rPr>
          <w:rFonts w:cs="Arial"/>
          <w:bCs/>
          <w:color w:val="000000"/>
          <w:sz w:val="22"/>
          <w:szCs w:val="22"/>
        </w:rPr>
      </w:pPr>
      <w:r w:rsidRPr="00F06396">
        <w:rPr>
          <w:rFonts w:cs="Arial"/>
          <w:bCs/>
          <w:color w:val="000000"/>
          <w:sz w:val="22"/>
          <w:szCs w:val="22"/>
        </w:rPr>
        <w:t>E</w:t>
      </w:r>
      <w:r w:rsidR="000C1F10" w:rsidRPr="00F06396">
        <w:rPr>
          <w:rFonts w:cs="Arial"/>
          <w:bCs/>
          <w:color w:val="000000"/>
          <w:sz w:val="22"/>
          <w:szCs w:val="22"/>
        </w:rPr>
        <w:t>s necesario señalar de manera previa al análisis que e</w:t>
      </w:r>
      <w:r w:rsidRPr="00F06396">
        <w:rPr>
          <w:rFonts w:cs="Arial"/>
          <w:bCs/>
          <w:color w:val="000000"/>
          <w:sz w:val="22"/>
          <w:szCs w:val="22"/>
        </w:rPr>
        <w:t xml:space="preserve">l procedimiento por incumplimiento tiene como objeto, en su fase prejudicial, determinar la conformidad de la conducta de una determinada autoridad nacional con el ordenamiento jurídico comunitario. En tal sentido, </w:t>
      </w:r>
      <w:r w:rsidR="000C1F10" w:rsidRPr="00F06396">
        <w:rPr>
          <w:rFonts w:cs="Arial"/>
          <w:bCs/>
          <w:color w:val="000000"/>
          <w:sz w:val="22"/>
          <w:szCs w:val="22"/>
        </w:rPr>
        <w:t xml:space="preserve">la intervención de la Secretaría General </w:t>
      </w:r>
      <w:r w:rsidRPr="00F06396">
        <w:rPr>
          <w:rFonts w:cs="Arial"/>
          <w:bCs/>
          <w:color w:val="000000"/>
          <w:sz w:val="22"/>
          <w:szCs w:val="22"/>
        </w:rPr>
        <w:t>no se constituye en una instancia de revisión</w:t>
      </w:r>
      <w:r w:rsidR="003F678B" w:rsidRPr="00F06396">
        <w:rPr>
          <w:rFonts w:cs="Arial"/>
          <w:bCs/>
          <w:color w:val="000000"/>
          <w:sz w:val="22"/>
          <w:szCs w:val="22"/>
        </w:rPr>
        <w:t>, apelación o</w:t>
      </w:r>
      <w:r w:rsidRPr="00F06396">
        <w:rPr>
          <w:rFonts w:cs="Arial"/>
          <w:bCs/>
          <w:color w:val="000000"/>
          <w:sz w:val="22"/>
          <w:szCs w:val="22"/>
        </w:rPr>
        <w:t xml:space="preserve"> casación de las</w:t>
      </w:r>
      <w:r w:rsidR="000C1F10" w:rsidRPr="00F06396">
        <w:rPr>
          <w:rFonts w:cs="Arial"/>
          <w:bCs/>
          <w:color w:val="000000"/>
          <w:sz w:val="22"/>
          <w:szCs w:val="22"/>
        </w:rPr>
        <w:t xml:space="preserve"> decisiones de las</w:t>
      </w:r>
      <w:r w:rsidRPr="00F06396">
        <w:rPr>
          <w:rFonts w:cs="Arial"/>
          <w:bCs/>
          <w:color w:val="000000"/>
          <w:sz w:val="22"/>
          <w:szCs w:val="22"/>
        </w:rPr>
        <w:t xml:space="preserve"> instancias nacionales</w:t>
      </w:r>
      <w:r w:rsidR="003F678B" w:rsidRPr="00F06396">
        <w:rPr>
          <w:rFonts w:cs="Arial"/>
          <w:bCs/>
          <w:color w:val="000000"/>
          <w:sz w:val="22"/>
          <w:szCs w:val="22"/>
        </w:rPr>
        <w:t>, no siendo labor de la Secretaría General actuar como una suerte de instancia de alzada de los actos de la administración pública de los Países Miembros</w:t>
      </w:r>
      <w:r w:rsidRPr="00F06396">
        <w:rPr>
          <w:rFonts w:cs="Arial"/>
          <w:bCs/>
          <w:color w:val="000000"/>
          <w:sz w:val="22"/>
          <w:szCs w:val="22"/>
        </w:rPr>
        <w:t>.</w:t>
      </w:r>
    </w:p>
    <w:p w14:paraId="7E70B4F9" w14:textId="77777777" w:rsidR="005718E9" w:rsidRPr="00F06396" w:rsidRDefault="005718E9" w:rsidP="005718E9">
      <w:pPr>
        <w:pStyle w:val="Prrafodelista"/>
        <w:widowControl/>
        <w:adjustRightInd/>
        <w:spacing w:line="240" w:lineRule="auto"/>
        <w:ind w:left="-12"/>
        <w:textAlignment w:val="auto"/>
        <w:rPr>
          <w:rFonts w:cs="Arial"/>
          <w:bCs/>
          <w:color w:val="000000"/>
          <w:sz w:val="22"/>
          <w:szCs w:val="22"/>
        </w:rPr>
      </w:pPr>
    </w:p>
    <w:p w14:paraId="44DBA201" w14:textId="77777777" w:rsidR="00C35FD2" w:rsidRPr="00F06396" w:rsidRDefault="00C35FD2" w:rsidP="00C35FD2">
      <w:pPr>
        <w:pStyle w:val="Prrafodelista"/>
        <w:widowControl/>
        <w:numPr>
          <w:ilvl w:val="0"/>
          <w:numId w:val="35"/>
        </w:numPr>
        <w:adjustRightInd/>
        <w:spacing w:line="240" w:lineRule="auto"/>
        <w:ind w:left="-12" w:hanging="357"/>
        <w:textAlignment w:val="auto"/>
        <w:rPr>
          <w:rFonts w:cs="Arial"/>
          <w:bCs/>
          <w:color w:val="000000"/>
          <w:sz w:val="22"/>
          <w:szCs w:val="22"/>
        </w:rPr>
      </w:pPr>
      <w:r w:rsidRPr="00F06396">
        <w:rPr>
          <w:rFonts w:cs="Arial"/>
          <w:bCs/>
          <w:color w:val="000000"/>
          <w:sz w:val="22"/>
          <w:szCs w:val="22"/>
        </w:rPr>
        <w:t>Tampoco corresponde a la Secretaría G</w:t>
      </w:r>
      <w:r w:rsidR="00892EFC" w:rsidRPr="00F06396">
        <w:rPr>
          <w:rFonts w:cs="Arial"/>
          <w:bCs/>
          <w:color w:val="000000"/>
          <w:sz w:val="22"/>
          <w:szCs w:val="22"/>
        </w:rPr>
        <w:t xml:space="preserve">eneral analizar la vigencia, </w:t>
      </w:r>
      <w:r w:rsidRPr="00F06396">
        <w:rPr>
          <w:rFonts w:cs="Arial"/>
          <w:bCs/>
          <w:color w:val="000000"/>
          <w:sz w:val="22"/>
          <w:szCs w:val="22"/>
        </w:rPr>
        <w:t>el reconocimiento</w:t>
      </w:r>
      <w:r w:rsidR="00892EFC" w:rsidRPr="00F06396">
        <w:rPr>
          <w:rFonts w:cs="Arial"/>
          <w:bCs/>
          <w:color w:val="000000"/>
          <w:sz w:val="22"/>
          <w:szCs w:val="22"/>
        </w:rPr>
        <w:t xml:space="preserve"> o aplicación</w:t>
      </w:r>
      <w:r w:rsidRPr="00F06396">
        <w:rPr>
          <w:rFonts w:cs="Arial"/>
          <w:bCs/>
          <w:color w:val="000000"/>
          <w:sz w:val="22"/>
          <w:szCs w:val="22"/>
        </w:rPr>
        <w:t xml:space="preserve"> por un País Miembro</w:t>
      </w:r>
      <w:r w:rsidR="00892EFC" w:rsidRPr="00F06396">
        <w:rPr>
          <w:rFonts w:cs="Arial"/>
          <w:bCs/>
          <w:color w:val="000000"/>
          <w:sz w:val="22"/>
          <w:szCs w:val="22"/>
        </w:rPr>
        <w:t>,</w:t>
      </w:r>
      <w:r w:rsidRPr="00F06396">
        <w:rPr>
          <w:rFonts w:cs="Arial"/>
          <w:bCs/>
          <w:color w:val="000000"/>
          <w:sz w:val="22"/>
          <w:szCs w:val="22"/>
        </w:rPr>
        <w:t xml:space="preserve"> de acuerdos que pertenecen a la órbita de otras organizaciones internacionales (en este caso nos referimos a la vigencia y aplicabilidad en el Perú del ARAM 1), pues tal asunto corresponde ser analizado en el ámbito de tales organizaciones internacionales y de las entidades administrativas y jurisdiccionales</w:t>
      </w:r>
      <w:r w:rsidR="00593D9E" w:rsidRPr="00F06396">
        <w:rPr>
          <w:rFonts w:cs="Arial"/>
          <w:bCs/>
          <w:color w:val="000000"/>
          <w:sz w:val="22"/>
          <w:szCs w:val="22"/>
        </w:rPr>
        <w:t xml:space="preserve"> concernidas,</w:t>
      </w:r>
      <w:r w:rsidRPr="00F06396">
        <w:rPr>
          <w:rFonts w:cs="Arial"/>
          <w:bCs/>
          <w:color w:val="000000"/>
          <w:sz w:val="22"/>
          <w:szCs w:val="22"/>
        </w:rPr>
        <w:t xml:space="preserve"> de conformidad con las reglas de dicha organización y el Derecho Internacional Público.</w:t>
      </w:r>
      <w:r w:rsidR="00892EFC" w:rsidRPr="00F06396">
        <w:rPr>
          <w:rFonts w:cs="Arial"/>
          <w:bCs/>
          <w:color w:val="000000"/>
          <w:sz w:val="22"/>
          <w:szCs w:val="22"/>
        </w:rPr>
        <w:t xml:space="preserve"> En todo caso, respecto de otros acuerdos preferentes y su aplicabilidad a la luz del derecho comunitario, cabe recordar la preeminencia del derecho comunitario</w:t>
      </w:r>
      <w:r w:rsidR="00593D9E" w:rsidRPr="00F06396">
        <w:rPr>
          <w:rFonts w:cs="Arial"/>
          <w:bCs/>
          <w:color w:val="000000"/>
          <w:sz w:val="22"/>
          <w:szCs w:val="22"/>
        </w:rPr>
        <w:t xml:space="preserve">, lo cual incluye </w:t>
      </w:r>
      <w:r w:rsidR="00892EFC" w:rsidRPr="00F06396">
        <w:rPr>
          <w:rFonts w:cs="Arial"/>
          <w:bCs/>
          <w:color w:val="000000"/>
          <w:sz w:val="22"/>
          <w:szCs w:val="22"/>
        </w:rPr>
        <w:t>la obligación de hacer e</w:t>
      </w:r>
      <w:r w:rsidR="00593D9E" w:rsidRPr="00F06396">
        <w:rPr>
          <w:rFonts w:cs="Arial"/>
          <w:bCs/>
          <w:color w:val="000000"/>
          <w:sz w:val="22"/>
          <w:szCs w:val="22"/>
        </w:rPr>
        <w:t>xtensivo a los socios andinos, las mejores condiciones conferidas a terceros.</w:t>
      </w:r>
    </w:p>
    <w:p w14:paraId="38E2C96B" w14:textId="77777777" w:rsidR="00C35FD2" w:rsidRPr="00F06396" w:rsidRDefault="00C35FD2" w:rsidP="005718E9">
      <w:pPr>
        <w:pStyle w:val="Prrafodelista"/>
        <w:widowControl/>
        <w:adjustRightInd/>
        <w:spacing w:line="240" w:lineRule="auto"/>
        <w:ind w:left="-12"/>
        <w:textAlignment w:val="auto"/>
        <w:rPr>
          <w:rFonts w:cs="Arial"/>
          <w:bCs/>
          <w:color w:val="000000"/>
          <w:sz w:val="22"/>
          <w:szCs w:val="22"/>
        </w:rPr>
      </w:pPr>
    </w:p>
    <w:p w14:paraId="6F55EB87" w14:textId="77777777" w:rsidR="004B3D75" w:rsidRPr="00F06396" w:rsidRDefault="003F678B" w:rsidP="00125988">
      <w:pPr>
        <w:pStyle w:val="Prrafodelista"/>
        <w:widowControl/>
        <w:numPr>
          <w:ilvl w:val="0"/>
          <w:numId w:val="35"/>
        </w:numPr>
        <w:adjustRightInd/>
        <w:spacing w:line="240" w:lineRule="auto"/>
        <w:ind w:left="-12" w:hanging="357"/>
        <w:textAlignment w:val="auto"/>
        <w:rPr>
          <w:rFonts w:cs="Arial"/>
          <w:sz w:val="22"/>
          <w:szCs w:val="22"/>
        </w:rPr>
      </w:pPr>
      <w:r w:rsidRPr="00F06396">
        <w:rPr>
          <w:rFonts w:cs="Arial"/>
          <w:sz w:val="22"/>
          <w:szCs w:val="22"/>
        </w:rPr>
        <w:t>A tenor de lo señalado, lo que corresponde a la Secretaría General</w:t>
      </w:r>
      <w:r w:rsidR="00593D9E" w:rsidRPr="00F06396">
        <w:rPr>
          <w:rFonts w:cs="Arial"/>
          <w:sz w:val="22"/>
          <w:szCs w:val="22"/>
        </w:rPr>
        <w:t>, en el presente caso,</w:t>
      </w:r>
      <w:r w:rsidRPr="00F06396">
        <w:rPr>
          <w:rFonts w:cs="Arial"/>
          <w:sz w:val="22"/>
          <w:szCs w:val="22"/>
        </w:rPr>
        <w:t xml:space="preserve"> es verificar si los actos de la autoridad </w:t>
      </w:r>
      <w:r w:rsidR="00593D9E" w:rsidRPr="00F06396">
        <w:rPr>
          <w:rFonts w:cs="Arial"/>
          <w:sz w:val="22"/>
          <w:szCs w:val="22"/>
        </w:rPr>
        <w:t>peruana</w:t>
      </w:r>
      <w:r w:rsidRPr="00F06396">
        <w:rPr>
          <w:rFonts w:cs="Arial"/>
          <w:sz w:val="22"/>
          <w:szCs w:val="22"/>
        </w:rPr>
        <w:t>, expresados, en este caso, en la</w:t>
      </w:r>
      <w:r w:rsidR="00C35FD2" w:rsidRPr="00F06396">
        <w:rPr>
          <w:rFonts w:cs="Arial"/>
          <w:sz w:val="22"/>
          <w:szCs w:val="22"/>
        </w:rPr>
        <w:t xml:space="preserve"> exigencia de indicar en el rubro de “observaciones” de los certificados de origen la preferencia arancelaria pactada para la aplicación de la NMF al comercio intracomunitario, </w:t>
      </w:r>
      <w:r w:rsidR="004B3D75" w:rsidRPr="00F06396">
        <w:rPr>
          <w:rFonts w:cs="Arial"/>
          <w:sz w:val="22"/>
          <w:szCs w:val="22"/>
        </w:rPr>
        <w:t xml:space="preserve">contraviene o no </w:t>
      </w:r>
      <w:r w:rsidR="004D3161" w:rsidRPr="00F06396">
        <w:rPr>
          <w:rFonts w:cs="Arial"/>
          <w:sz w:val="22"/>
          <w:szCs w:val="22"/>
        </w:rPr>
        <w:t>el artículo 139 del Acuerdo de Cartagena y la Decisión 416 Normas Especiales para la Calificación y Certificación del Origen de las Mercancías</w:t>
      </w:r>
      <w:r w:rsidR="00C35FD2" w:rsidRPr="00F06396">
        <w:rPr>
          <w:rFonts w:cs="Arial"/>
          <w:sz w:val="22"/>
          <w:szCs w:val="22"/>
        </w:rPr>
        <w:t>. Es</w:t>
      </w:r>
      <w:r w:rsidR="00DE3FD4" w:rsidRPr="00F06396">
        <w:rPr>
          <w:rFonts w:cs="Arial"/>
          <w:sz w:val="22"/>
          <w:szCs w:val="22"/>
        </w:rPr>
        <w:t xml:space="preserve"> en esa línea que se presenta el análisis que sigue a continuación</w:t>
      </w:r>
      <w:r w:rsidR="00C35FD2" w:rsidRPr="00F06396">
        <w:rPr>
          <w:rFonts w:cs="Arial"/>
          <w:sz w:val="22"/>
          <w:szCs w:val="22"/>
        </w:rPr>
        <w:t>:</w:t>
      </w:r>
    </w:p>
    <w:p w14:paraId="4E399C31" w14:textId="77777777" w:rsidR="0074772F" w:rsidRPr="00F06396" w:rsidRDefault="0074772F" w:rsidP="00125988">
      <w:pPr>
        <w:pStyle w:val="Prrafodelista"/>
        <w:widowControl/>
        <w:adjustRightInd/>
        <w:spacing w:line="240" w:lineRule="auto"/>
        <w:ind w:left="348"/>
        <w:textAlignment w:val="auto"/>
        <w:rPr>
          <w:rFonts w:cs="Arial"/>
          <w:b/>
          <w:sz w:val="22"/>
          <w:szCs w:val="22"/>
        </w:rPr>
      </w:pPr>
    </w:p>
    <w:p w14:paraId="1329F146" w14:textId="77777777" w:rsidR="008E29C3" w:rsidRPr="00F06396" w:rsidRDefault="00593D9E" w:rsidP="008E29C3">
      <w:pPr>
        <w:pStyle w:val="Prrafodelista"/>
        <w:widowControl/>
        <w:numPr>
          <w:ilvl w:val="0"/>
          <w:numId w:val="35"/>
        </w:numPr>
        <w:adjustRightInd/>
        <w:spacing w:line="240" w:lineRule="auto"/>
        <w:ind w:left="-12" w:hanging="357"/>
        <w:textAlignment w:val="auto"/>
        <w:rPr>
          <w:rFonts w:cs="Arial"/>
          <w:bCs/>
          <w:sz w:val="22"/>
          <w:szCs w:val="22"/>
        </w:rPr>
      </w:pPr>
      <w:r w:rsidRPr="00F06396">
        <w:rPr>
          <w:rFonts w:cs="Arial"/>
          <w:bCs/>
          <w:sz w:val="22"/>
          <w:szCs w:val="22"/>
        </w:rPr>
        <w:lastRenderedPageBreak/>
        <w:t>E</w:t>
      </w:r>
      <w:r w:rsidR="008E29C3" w:rsidRPr="00F06396">
        <w:rPr>
          <w:rFonts w:cs="Arial"/>
          <w:bCs/>
          <w:sz w:val="22"/>
          <w:szCs w:val="22"/>
        </w:rPr>
        <w:t xml:space="preserve">l artículo 14 de la Decisión 416 establece: </w:t>
      </w:r>
    </w:p>
    <w:p w14:paraId="4B19CC5E" w14:textId="77777777" w:rsidR="008E29C3" w:rsidRPr="00F06396" w:rsidRDefault="008E29C3" w:rsidP="008E29C3">
      <w:pPr>
        <w:pStyle w:val="Prrafodelista"/>
        <w:widowControl/>
        <w:adjustRightInd/>
        <w:spacing w:line="240" w:lineRule="auto"/>
        <w:ind w:left="-12"/>
        <w:textAlignment w:val="auto"/>
        <w:rPr>
          <w:rFonts w:cs="Arial"/>
          <w:bCs/>
          <w:sz w:val="22"/>
          <w:szCs w:val="22"/>
        </w:rPr>
      </w:pPr>
    </w:p>
    <w:p w14:paraId="37C205FE" w14:textId="77777777" w:rsidR="008E29C3" w:rsidRPr="00F06396" w:rsidRDefault="008E29C3" w:rsidP="008E29C3">
      <w:pPr>
        <w:spacing w:line="240" w:lineRule="auto"/>
        <w:rPr>
          <w:rFonts w:cs="Arial"/>
          <w:i/>
          <w:sz w:val="22"/>
          <w:szCs w:val="22"/>
        </w:rPr>
      </w:pPr>
      <w:r w:rsidRPr="00F06396">
        <w:rPr>
          <w:rFonts w:cs="Arial"/>
          <w:i/>
          <w:sz w:val="22"/>
          <w:szCs w:val="22"/>
        </w:rPr>
        <w:t>“Artículo 14.- Para la declaración y certificación del origen de los productos se utilizará el formulario adoptado por la Asociación Latinoamericana de Integración, hasta tanto se apruebe un nuevo formulario de acuerdo con lo previsto en la Disposición Transitoria Primera de la presente Decisión.  El certificado de origen tendrá una validez de 180 días calendario, contados a partir de la fecha de su emisión.</w:t>
      </w:r>
    </w:p>
    <w:p w14:paraId="296CC4EE" w14:textId="77777777" w:rsidR="008E29C3" w:rsidRPr="00F06396" w:rsidRDefault="008E29C3" w:rsidP="008E29C3">
      <w:pPr>
        <w:spacing w:line="240" w:lineRule="auto"/>
        <w:ind w:firstLine="709"/>
        <w:rPr>
          <w:rFonts w:cs="Arial"/>
          <w:i/>
          <w:sz w:val="22"/>
          <w:szCs w:val="22"/>
        </w:rPr>
      </w:pPr>
      <w:r w:rsidRPr="00F06396">
        <w:rPr>
          <w:rFonts w:cs="Arial"/>
          <w:i/>
          <w:sz w:val="22"/>
          <w:szCs w:val="22"/>
        </w:rPr>
        <w:t>(…)”</w:t>
      </w:r>
    </w:p>
    <w:p w14:paraId="4CCBA844" w14:textId="77777777" w:rsidR="008E29C3" w:rsidRPr="00F06396" w:rsidRDefault="008E29C3" w:rsidP="008E29C3">
      <w:pPr>
        <w:pStyle w:val="Prrafodelista"/>
        <w:widowControl/>
        <w:adjustRightInd/>
        <w:spacing w:line="240" w:lineRule="auto"/>
        <w:ind w:left="-12"/>
        <w:textAlignment w:val="auto"/>
        <w:rPr>
          <w:rFonts w:cs="Arial"/>
          <w:bCs/>
          <w:sz w:val="22"/>
          <w:szCs w:val="22"/>
        </w:rPr>
      </w:pPr>
    </w:p>
    <w:p w14:paraId="3C030F52" w14:textId="77777777" w:rsidR="008E29C3" w:rsidRPr="00F06396" w:rsidRDefault="008E29C3" w:rsidP="008E29C3">
      <w:pPr>
        <w:pStyle w:val="Prrafodelista"/>
        <w:widowControl/>
        <w:numPr>
          <w:ilvl w:val="0"/>
          <w:numId w:val="35"/>
        </w:numPr>
        <w:adjustRightInd/>
        <w:spacing w:line="240" w:lineRule="auto"/>
        <w:ind w:left="-12" w:hanging="357"/>
        <w:textAlignment w:val="auto"/>
        <w:rPr>
          <w:rFonts w:cs="Arial"/>
          <w:bCs/>
          <w:sz w:val="22"/>
          <w:szCs w:val="22"/>
        </w:rPr>
      </w:pPr>
      <w:r w:rsidRPr="00F06396">
        <w:rPr>
          <w:rFonts w:cs="Arial"/>
          <w:bCs/>
          <w:sz w:val="22"/>
          <w:szCs w:val="22"/>
        </w:rPr>
        <w:t>El formulario a que refiere el mencionado artículo 14 es el siguiente:</w:t>
      </w:r>
    </w:p>
    <w:p w14:paraId="5C6F95BA" w14:textId="77777777" w:rsidR="008E29C3" w:rsidRPr="00F06396" w:rsidRDefault="008E29C3" w:rsidP="008E29C3">
      <w:pPr>
        <w:pStyle w:val="Prrafodelista"/>
        <w:spacing w:line="240" w:lineRule="auto"/>
        <w:rPr>
          <w:rFonts w:cs="Arial"/>
          <w:bCs/>
          <w:sz w:val="22"/>
          <w:szCs w:val="22"/>
        </w:rPr>
      </w:pPr>
    </w:p>
    <w:p w14:paraId="3FCFF1B6" w14:textId="77777777" w:rsidR="008E29C3" w:rsidRPr="00F06396" w:rsidRDefault="008E29C3" w:rsidP="008E29C3">
      <w:pPr>
        <w:pStyle w:val="Prrafodelista"/>
        <w:spacing w:line="240" w:lineRule="auto"/>
        <w:ind w:left="0"/>
        <w:rPr>
          <w:rFonts w:cs="Arial"/>
          <w:bCs/>
          <w:sz w:val="22"/>
          <w:szCs w:val="22"/>
        </w:rPr>
      </w:pPr>
      <w:r w:rsidRPr="00F06396">
        <w:rPr>
          <w:rFonts w:cs="Arial"/>
          <w:bCs/>
          <w:noProof/>
          <w:sz w:val="22"/>
          <w:szCs w:val="22"/>
          <w:lang w:eastAsia="es-ES"/>
        </w:rPr>
        <w:drawing>
          <wp:inline distT="0" distB="0" distL="0" distR="0" wp14:anchorId="38F01D3D" wp14:editId="6E9E8E1D">
            <wp:extent cx="5575300" cy="4743450"/>
            <wp:effectExtent l="19050" t="0" r="6350" b="0"/>
            <wp:docPr id="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srcRect/>
                    <a:stretch>
                      <a:fillRect/>
                    </a:stretch>
                  </pic:blipFill>
                  <pic:spPr bwMode="auto">
                    <a:xfrm>
                      <a:off x="0" y="0"/>
                      <a:ext cx="5575300" cy="4743450"/>
                    </a:xfrm>
                    <a:prstGeom prst="rect">
                      <a:avLst/>
                    </a:prstGeom>
                    <a:noFill/>
                    <a:ln w="9525">
                      <a:noFill/>
                      <a:miter lim="800000"/>
                      <a:headEnd/>
                      <a:tailEnd/>
                    </a:ln>
                  </pic:spPr>
                </pic:pic>
              </a:graphicData>
            </a:graphic>
          </wp:inline>
        </w:drawing>
      </w:r>
    </w:p>
    <w:p w14:paraId="2778B799" w14:textId="77777777" w:rsidR="008E29C3" w:rsidRPr="00F06396" w:rsidRDefault="008E29C3" w:rsidP="008E29C3">
      <w:pPr>
        <w:pStyle w:val="Prrafodelista"/>
        <w:spacing w:line="240" w:lineRule="auto"/>
        <w:rPr>
          <w:rFonts w:cs="Arial"/>
          <w:bCs/>
          <w:sz w:val="22"/>
          <w:szCs w:val="22"/>
        </w:rPr>
      </w:pPr>
    </w:p>
    <w:p w14:paraId="5D28324F" w14:textId="77777777" w:rsidR="008E29C3" w:rsidRPr="00F06396" w:rsidRDefault="008E29C3" w:rsidP="008E29C3">
      <w:pPr>
        <w:pStyle w:val="Prrafodelista"/>
        <w:widowControl/>
        <w:numPr>
          <w:ilvl w:val="0"/>
          <w:numId w:val="35"/>
        </w:numPr>
        <w:adjustRightInd/>
        <w:spacing w:line="240" w:lineRule="auto"/>
        <w:ind w:left="-12" w:hanging="357"/>
        <w:textAlignment w:val="auto"/>
        <w:rPr>
          <w:rFonts w:cs="Arial"/>
          <w:bCs/>
          <w:sz w:val="22"/>
          <w:szCs w:val="22"/>
        </w:rPr>
      </w:pPr>
      <w:r w:rsidRPr="00F06396">
        <w:rPr>
          <w:rFonts w:cs="Arial"/>
          <w:bCs/>
          <w:sz w:val="22"/>
          <w:szCs w:val="22"/>
        </w:rPr>
        <w:t>La Nota (2) de dicho formulario correspondiente al campo 2 “Declaración de Origen”, prevé que el operador comercial consigne el acuerdo de alcance regional o de alcance parcial al que desea acogerse. La Decisión 416 y el formulario antes mencionado no indican expresamente qué es lo que se debe consignar en el rubro de “observaciones”.</w:t>
      </w:r>
    </w:p>
    <w:p w14:paraId="6A1EF6B6" w14:textId="77777777" w:rsidR="008E29C3" w:rsidRPr="00F06396" w:rsidRDefault="008E29C3" w:rsidP="008E29C3">
      <w:pPr>
        <w:pStyle w:val="Prrafodelista"/>
        <w:widowControl/>
        <w:adjustRightInd/>
        <w:spacing w:line="240" w:lineRule="auto"/>
        <w:ind w:left="-12"/>
        <w:textAlignment w:val="auto"/>
        <w:rPr>
          <w:rFonts w:cs="Arial"/>
          <w:bCs/>
          <w:sz w:val="22"/>
          <w:szCs w:val="22"/>
        </w:rPr>
      </w:pPr>
    </w:p>
    <w:p w14:paraId="40EB812E" w14:textId="77777777" w:rsidR="008E29C3" w:rsidRPr="00F06396" w:rsidRDefault="00593D9E" w:rsidP="00131029">
      <w:pPr>
        <w:pStyle w:val="Prrafodelista"/>
        <w:widowControl/>
        <w:numPr>
          <w:ilvl w:val="0"/>
          <w:numId w:val="35"/>
        </w:numPr>
        <w:adjustRightInd/>
        <w:spacing w:line="240" w:lineRule="auto"/>
        <w:ind w:left="-12" w:hanging="357"/>
        <w:textAlignment w:val="auto"/>
        <w:rPr>
          <w:rFonts w:cs="Arial"/>
          <w:sz w:val="22"/>
          <w:szCs w:val="22"/>
        </w:rPr>
      </w:pPr>
      <w:r w:rsidRPr="00F06396">
        <w:rPr>
          <w:rFonts w:cs="Arial"/>
          <w:sz w:val="22"/>
          <w:szCs w:val="22"/>
        </w:rPr>
        <w:t xml:space="preserve">Por otro lado, </w:t>
      </w:r>
      <w:r w:rsidR="008E29C3" w:rsidRPr="00F06396">
        <w:rPr>
          <w:rFonts w:cs="Arial"/>
          <w:sz w:val="22"/>
          <w:szCs w:val="22"/>
        </w:rPr>
        <w:t>a</w:t>
      </w:r>
      <w:r w:rsidR="00131029" w:rsidRPr="00F06396">
        <w:rPr>
          <w:rFonts w:cs="Arial"/>
          <w:sz w:val="22"/>
          <w:szCs w:val="22"/>
        </w:rPr>
        <w:t xml:space="preserve"> la fecha de la operación de importación estaba vigente la Resolución de Intendencia Nacional 984 publicada en el Diario Oficial El Peruano el 12 de setiembre de 1999. De manera consistente con el ordenamiento jurídico andino vigente a dicha fecha, tal resolución reconocía la vigencia de la Zona de Libre Comercio Andina y su perfeccionamiento, entre otras, por la Decisión 414</w:t>
      </w:r>
      <w:r w:rsidR="008E29C3" w:rsidRPr="00F06396">
        <w:rPr>
          <w:rFonts w:cs="Arial"/>
          <w:sz w:val="22"/>
          <w:szCs w:val="22"/>
        </w:rPr>
        <w:t>. Al mismo tiempo, reconocía también la continuidad de l</w:t>
      </w:r>
      <w:r w:rsidR="00131029" w:rsidRPr="00F06396">
        <w:rPr>
          <w:rFonts w:cs="Arial"/>
          <w:sz w:val="22"/>
          <w:szCs w:val="22"/>
        </w:rPr>
        <w:t xml:space="preserve">a aplicación de los acuerdos comerciales bilaterales suscritos entre los países andinos resultantes de la Decisión 321, en tanto otorgaran </w:t>
      </w:r>
      <w:r w:rsidR="008E29C3" w:rsidRPr="00F06396">
        <w:rPr>
          <w:rFonts w:cs="Arial"/>
          <w:sz w:val="22"/>
          <w:szCs w:val="22"/>
        </w:rPr>
        <w:t xml:space="preserve">un </w:t>
      </w:r>
      <w:r w:rsidR="00131029" w:rsidRPr="00F06396">
        <w:rPr>
          <w:rFonts w:cs="Arial"/>
          <w:sz w:val="22"/>
          <w:szCs w:val="22"/>
        </w:rPr>
        <w:t>tratamiento más favorable que el</w:t>
      </w:r>
      <w:r w:rsidR="008E29C3" w:rsidRPr="00F06396">
        <w:rPr>
          <w:rFonts w:cs="Arial"/>
          <w:sz w:val="22"/>
          <w:szCs w:val="22"/>
        </w:rPr>
        <w:t xml:space="preserve"> conferido por el</w:t>
      </w:r>
      <w:r w:rsidR="00131029" w:rsidRPr="00F06396">
        <w:rPr>
          <w:rFonts w:cs="Arial"/>
          <w:sz w:val="22"/>
          <w:szCs w:val="22"/>
        </w:rPr>
        <w:t xml:space="preserve"> Programa de Liberación. </w:t>
      </w:r>
    </w:p>
    <w:p w14:paraId="25C78C1E" w14:textId="77777777" w:rsidR="008E29C3" w:rsidRPr="00F06396" w:rsidRDefault="008E29C3" w:rsidP="008E29C3">
      <w:pPr>
        <w:pStyle w:val="Prrafodelista"/>
        <w:rPr>
          <w:rFonts w:cs="Arial"/>
          <w:sz w:val="22"/>
          <w:szCs w:val="22"/>
        </w:rPr>
      </w:pPr>
    </w:p>
    <w:p w14:paraId="73571C88" w14:textId="77777777" w:rsidR="005E301F" w:rsidRPr="00F06396" w:rsidRDefault="00131029" w:rsidP="00131029">
      <w:pPr>
        <w:pStyle w:val="Prrafodelista"/>
        <w:widowControl/>
        <w:numPr>
          <w:ilvl w:val="0"/>
          <w:numId w:val="35"/>
        </w:numPr>
        <w:adjustRightInd/>
        <w:spacing w:line="240" w:lineRule="auto"/>
        <w:ind w:left="-12" w:hanging="357"/>
        <w:textAlignment w:val="auto"/>
        <w:rPr>
          <w:rFonts w:cs="Arial"/>
          <w:sz w:val="22"/>
          <w:szCs w:val="22"/>
        </w:rPr>
      </w:pPr>
      <w:r w:rsidRPr="00F06396">
        <w:rPr>
          <w:rFonts w:cs="Arial"/>
          <w:sz w:val="22"/>
          <w:szCs w:val="22"/>
        </w:rPr>
        <w:lastRenderedPageBreak/>
        <w:t xml:space="preserve">En materia de origen, la misma resolución dispuso la continuidad del </w:t>
      </w:r>
      <w:r w:rsidR="008E29C3" w:rsidRPr="00F06396">
        <w:rPr>
          <w:rFonts w:cs="Arial"/>
          <w:sz w:val="22"/>
          <w:szCs w:val="22"/>
        </w:rPr>
        <w:t xml:space="preserve">uso del </w:t>
      </w:r>
      <w:r w:rsidRPr="00F06396">
        <w:rPr>
          <w:rFonts w:cs="Arial"/>
          <w:sz w:val="22"/>
          <w:szCs w:val="22"/>
        </w:rPr>
        <w:t>formato de ALADI</w:t>
      </w:r>
      <w:r w:rsidR="004215F1" w:rsidRPr="00F06396">
        <w:rPr>
          <w:rFonts w:cs="Arial"/>
          <w:sz w:val="22"/>
          <w:szCs w:val="22"/>
        </w:rPr>
        <w:t xml:space="preserve"> (Acuerdo N° 25)</w:t>
      </w:r>
      <w:r w:rsidRPr="00F06396">
        <w:rPr>
          <w:rFonts w:cs="Arial"/>
          <w:sz w:val="22"/>
          <w:szCs w:val="22"/>
        </w:rPr>
        <w:t xml:space="preserve"> para los certificados</w:t>
      </w:r>
      <w:r w:rsidR="008E29C3" w:rsidRPr="00F06396">
        <w:rPr>
          <w:rFonts w:cs="Arial"/>
          <w:sz w:val="22"/>
          <w:szCs w:val="22"/>
        </w:rPr>
        <w:t>, así como</w:t>
      </w:r>
      <w:r w:rsidRPr="00F06396">
        <w:rPr>
          <w:rFonts w:cs="Arial"/>
          <w:sz w:val="22"/>
          <w:szCs w:val="22"/>
        </w:rPr>
        <w:t xml:space="preserve"> la extensión de las mejores preferencias conferidas en ALADI al comercio</w:t>
      </w:r>
      <w:r w:rsidR="00EC4B2D" w:rsidRPr="00F06396">
        <w:rPr>
          <w:rFonts w:cs="Arial"/>
          <w:sz w:val="22"/>
          <w:szCs w:val="22"/>
        </w:rPr>
        <w:t xml:space="preserve"> entre Perú y Colombia</w:t>
      </w:r>
      <w:r w:rsidRPr="00F06396">
        <w:rPr>
          <w:rFonts w:cs="Arial"/>
          <w:sz w:val="22"/>
          <w:szCs w:val="22"/>
        </w:rPr>
        <w:t xml:space="preserve">, en la medida </w:t>
      </w:r>
      <w:r w:rsidR="008E29C3" w:rsidRPr="00F06396">
        <w:rPr>
          <w:rFonts w:cs="Arial"/>
          <w:sz w:val="22"/>
          <w:szCs w:val="22"/>
        </w:rPr>
        <w:t xml:space="preserve">en </w:t>
      </w:r>
      <w:r w:rsidRPr="00F06396">
        <w:rPr>
          <w:rFonts w:cs="Arial"/>
          <w:sz w:val="22"/>
          <w:szCs w:val="22"/>
        </w:rPr>
        <w:t xml:space="preserve">que </w:t>
      </w:r>
      <w:r w:rsidR="00EC4B2D" w:rsidRPr="00F06396">
        <w:rPr>
          <w:rFonts w:cs="Arial"/>
          <w:sz w:val="22"/>
          <w:szCs w:val="22"/>
        </w:rPr>
        <w:t>se especificara tanto en la Declaración de Importación, como en el certificado de origen, la información relativa al Acuerdo ALADI cuya aplicación se estaría extendiendo, con indicación, en este último</w:t>
      </w:r>
      <w:r w:rsidR="008E29C3" w:rsidRPr="00F06396">
        <w:rPr>
          <w:rFonts w:cs="Arial"/>
          <w:sz w:val="22"/>
          <w:szCs w:val="22"/>
        </w:rPr>
        <w:t>,</w:t>
      </w:r>
      <w:r w:rsidR="00EC4B2D" w:rsidRPr="00F06396">
        <w:rPr>
          <w:rFonts w:cs="Arial"/>
          <w:sz w:val="22"/>
          <w:szCs w:val="22"/>
        </w:rPr>
        <w:t xml:space="preserve"> del porcentaje correspondiente</w:t>
      </w:r>
      <w:r w:rsidR="008E29C3" w:rsidRPr="00F06396">
        <w:rPr>
          <w:rFonts w:cs="Arial"/>
          <w:sz w:val="22"/>
          <w:szCs w:val="22"/>
        </w:rPr>
        <w:t>, en tanto ello se solicitara al momento de la destinación aduanera.</w:t>
      </w:r>
    </w:p>
    <w:p w14:paraId="6FEE921A" w14:textId="77777777" w:rsidR="00EC4B2D" w:rsidRPr="00F06396" w:rsidRDefault="00EC4B2D" w:rsidP="00EC4B2D">
      <w:pPr>
        <w:pStyle w:val="Prrafodelista"/>
        <w:widowControl/>
        <w:adjustRightInd/>
        <w:spacing w:line="240" w:lineRule="auto"/>
        <w:ind w:left="-12"/>
        <w:textAlignment w:val="auto"/>
        <w:rPr>
          <w:rFonts w:cs="Arial"/>
          <w:sz w:val="22"/>
          <w:szCs w:val="22"/>
        </w:rPr>
      </w:pPr>
    </w:p>
    <w:p w14:paraId="2E67E3A9" w14:textId="77777777" w:rsidR="007F7F3F" w:rsidRPr="00F06396" w:rsidRDefault="008E29C3" w:rsidP="00125988">
      <w:pPr>
        <w:pStyle w:val="Prrafodelista"/>
        <w:widowControl/>
        <w:adjustRightInd/>
        <w:spacing w:line="240" w:lineRule="auto"/>
        <w:ind w:left="348"/>
        <w:textAlignment w:val="auto"/>
        <w:rPr>
          <w:rFonts w:cs="Arial"/>
          <w:i/>
          <w:sz w:val="22"/>
          <w:szCs w:val="22"/>
        </w:rPr>
      </w:pPr>
      <w:r w:rsidRPr="00F06396">
        <w:rPr>
          <w:rFonts w:cs="Arial"/>
          <w:i/>
          <w:sz w:val="22"/>
          <w:szCs w:val="22"/>
        </w:rPr>
        <w:t>“</w:t>
      </w:r>
      <w:r w:rsidR="007F7F3F" w:rsidRPr="00F06396">
        <w:rPr>
          <w:rFonts w:cs="Arial"/>
          <w:i/>
          <w:sz w:val="22"/>
          <w:szCs w:val="22"/>
        </w:rPr>
        <w:t xml:space="preserve">14) Cualquier preferencia arancelaria otorgada por el Perú en los mecanismos de la ALADI, que resulte más favorable que las preferencias otorgadas en los acuerdos </w:t>
      </w:r>
      <w:r w:rsidR="000B7B17" w:rsidRPr="00F06396">
        <w:rPr>
          <w:rFonts w:cs="Arial"/>
          <w:i/>
          <w:sz w:val="22"/>
          <w:szCs w:val="22"/>
        </w:rPr>
        <w:t>suscritos en marco de la CA, será extendida al producto similar originario y procedente de los países miembros de la Comunidad Andina, en atención a la cláusula de la Nación Más Favorecida del Acuerdo de Cartagena cuya aplicación es previamente comunicada a ADUANAS por el Ministerio de Industria, Turismo, Integración y Negociaciones Comerciales Internacionales.”</w:t>
      </w:r>
    </w:p>
    <w:p w14:paraId="629599BE" w14:textId="77777777" w:rsidR="008E29C3" w:rsidRPr="00F06396" w:rsidRDefault="008E29C3" w:rsidP="00125988">
      <w:pPr>
        <w:pStyle w:val="Prrafodelista"/>
        <w:widowControl/>
        <w:adjustRightInd/>
        <w:spacing w:line="240" w:lineRule="auto"/>
        <w:ind w:left="348"/>
        <w:textAlignment w:val="auto"/>
        <w:rPr>
          <w:rFonts w:cs="Arial"/>
          <w:sz w:val="22"/>
          <w:szCs w:val="22"/>
        </w:rPr>
      </w:pPr>
    </w:p>
    <w:p w14:paraId="2037F594" w14:textId="77777777" w:rsidR="007F7F3F" w:rsidRPr="00F06396" w:rsidRDefault="008E29C3" w:rsidP="00125988">
      <w:pPr>
        <w:pStyle w:val="Prrafodelista"/>
        <w:widowControl/>
        <w:adjustRightInd/>
        <w:spacing w:line="240" w:lineRule="auto"/>
        <w:ind w:left="348"/>
        <w:textAlignment w:val="auto"/>
        <w:rPr>
          <w:rFonts w:cs="Arial"/>
          <w:sz w:val="22"/>
          <w:szCs w:val="22"/>
        </w:rPr>
      </w:pPr>
      <w:r w:rsidRPr="00F06396">
        <w:rPr>
          <w:rFonts w:cs="Arial"/>
          <w:sz w:val="22"/>
          <w:szCs w:val="22"/>
        </w:rPr>
        <w:t>(…)</w:t>
      </w:r>
    </w:p>
    <w:p w14:paraId="1DD4E34B" w14:textId="77777777" w:rsidR="007F7F3F" w:rsidRPr="00F06396" w:rsidRDefault="008E29C3" w:rsidP="00125988">
      <w:pPr>
        <w:pStyle w:val="Prrafodelista"/>
        <w:widowControl/>
        <w:adjustRightInd/>
        <w:spacing w:line="240" w:lineRule="auto"/>
        <w:ind w:left="348"/>
        <w:textAlignment w:val="auto"/>
        <w:rPr>
          <w:rFonts w:cs="Arial"/>
          <w:i/>
          <w:sz w:val="22"/>
          <w:szCs w:val="22"/>
        </w:rPr>
      </w:pPr>
      <w:r w:rsidRPr="00F06396">
        <w:rPr>
          <w:rFonts w:cs="Arial"/>
          <w:i/>
          <w:sz w:val="22"/>
          <w:szCs w:val="22"/>
        </w:rPr>
        <w:t>D</w:t>
      </w:r>
      <w:r w:rsidR="0034750F" w:rsidRPr="00F06396">
        <w:rPr>
          <w:rFonts w:cs="Arial"/>
          <w:i/>
          <w:sz w:val="22"/>
          <w:szCs w:val="22"/>
        </w:rPr>
        <w:t>espachos originarios de Colombia:</w:t>
      </w:r>
    </w:p>
    <w:p w14:paraId="0B207463" w14:textId="77777777" w:rsidR="008E29C3" w:rsidRPr="00F06396" w:rsidRDefault="008E29C3" w:rsidP="00125988">
      <w:pPr>
        <w:pStyle w:val="Prrafodelista"/>
        <w:widowControl/>
        <w:adjustRightInd/>
        <w:spacing w:line="240" w:lineRule="auto"/>
        <w:ind w:left="348"/>
        <w:textAlignment w:val="auto"/>
        <w:rPr>
          <w:rFonts w:cs="Arial"/>
          <w:i/>
          <w:sz w:val="22"/>
          <w:szCs w:val="22"/>
        </w:rPr>
      </w:pPr>
    </w:p>
    <w:p w14:paraId="771DC005" w14:textId="77777777" w:rsidR="0034750F" w:rsidRPr="00F06396" w:rsidRDefault="008E29C3" w:rsidP="00125988">
      <w:pPr>
        <w:pStyle w:val="Prrafodelista"/>
        <w:widowControl/>
        <w:adjustRightInd/>
        <w:spacing w:line="240" w:lineRule="auto"/>
        <w:ind w:left="348"/>
        <w:textAlignment w:val="auto"/>
        <w:rPr>
          <w:rFonts w:cs="Arial"/>
          <w:sz w:val="22"/>
          <w:szCs w:val="22"/>
        </w:rPr>
      </w:pPr>
      <w:r w:rsidRPr="00F06396">
        <w:rPr>
          <w:rFonts w:cs="Arial"/>
          <w:sz w:val="22"/>
          <w:szCs w:val="22"/>
        </w:rPr>
        <w:t>(…)</w:t>
      </w:r>
    </w:p>
    <w:p w14:paraId="4B5C79A6" w14:textId="77777777" w:rsidR="008E29C3" w:rsidRPr="00F06396" w:rsidRDefault="008E29C3" w:rsidP="00125988">
      <w:pPr>
        <w:pStyle w:val="Prrafodelista"/>
        <w:widowControl/>
        <w:adjustRightInd/>
        <w:spacing w:line="240" w:lineRule="auto"/>
        <w:ind w:left="348"/>
        <w:textAlignment w:val="auto"/>
        <w:rPr>
          <w:rFonts w:cs="Arial"/>
          <w:i/>
          <w:sz w:val="22"/>
          <w:szCs w:val="22"/>
        </w:rPr>
      </w:pPr>
    </w:p>
    <w:p w14:paraId="35B3BCA2" w14:textId="77777777" w:rsidR="0034750F" w:rsidRPr="00F06396" w:rsidRDefault="0034750F" w:rsidP="00125988">
      <w:pPr>
        <w:pStyle w:val="Prrafodelista"/>
        <w:widowControl/>
        <w:adjustRightInd/>
        <w:spacing w:line="240" w:lineRule="auto"/>
        <w:ind w:left="348"/>
        <w:textAlignment w:val="auto"/>
        <w:rPr>
          <w:rFonts w:cs="Arial"/>
          <w:i/>
          <w:sz w:val="22"/>
          <w:szCs w:val="22"/>
        </w:rPr>
      </w:pPr>
      <w:r w:rsidRPr="00F06396">
        <w:rPr>
          <w:rFonts w:cs="Arial"/>
          <w:i/>
          <w:sz w:val="22"/>
          <w:szCs w:val="22"/>
        </w:rPr>
        <w:t>5. La aplicación de la Cláusula de la Nación más Favorecida a las mercancías originarias y procedentes de Colombia, se realizará bajo los mismos términos y condiciones establecidos en los Acuerdos de la ALADI, consignándose en la Declaración de Importación el TPI y la información relativa al Acuerdo ALADI que está extendiendo su aplicación.</w:t>
      </w:r>
    </w:p>
    <w:p w14:paraId="4B5858D6" w14:textId="77777777" w:rsidR="0034750F" w:rsidRPr="00F06396" w:rsidRDefault="0034750F" w:rsidP="00125988">
      <w:pPr>
        <w:pStyle w:val="Prrafodelista"/>
        <w:widowControl/>
        <w:adjustRightInd/>
        <w:spacing w:line="240" w:lineRule="auto"/>
        <w:ind w:left="348"/>
        <w:textAlignment w:val="auto"/>
        <w:rPr>
          <w:rFonts w:cs="Arial"/>
          <w:i/>
          <w:sz w:val="22"/>
          <w:szCs w:val="22"/>
        </w:rPr>
      </w:pPr>
    </w:p>
    <w:p w14:paraId="1754D63F" w14:textId="77777777" w:rsidR="0034750F" w:rsidRPr="00F06396" w:rsidRDefault="0034750F" w:rsidP="00125988">
      <w:pPr>
        <w:pStyle w:val="Prrafodelista"/>
        <w:widowControl/>
        <w:adjustRightInd/>
        <w:spacing w:line="240" w:lineRule="auto"/>
        <w:ind w:left="348"/>
        <w:textAlignment w:val="auto"/>
        <w:rPr>
          <w:rFonts w:cs="Arial"/>
          <w:i/>
          <w:sz w:val="22"/>
          <w:szCs w:val="22"/>
        </w:rPr>
      </w:pPr>
      <w:r w:rsidRPr="00F06396">
        <w:rPr>
          <w:rFonts w:cs="Arial"/>
          <w:i/>
          <w:sz w:val="22"/>
          <w:szCs w:val="22"/>
        </w:rPr>
        <w:t xml:space="preserve">6. Para acogerse a lo establecido en el numeral precedente, </w:t>
      </w:r>
      <w:r w:rsidRPr="00F06396">
        <w:rPr>
          <w:rFonts w:cs="Arial"/>
          <w:i/>
          <w:sz w:val="22"/>
          <w:szCs w:val="22"/>
          <w:u w:val="single"/>
        </w:rPr>
        <w:t>el Certificado de Origen</w:t>
      </w:r>
      <w:r w:rsidRPr="00F06396">
        <w:rPr>
          <w:rFonts w:cs="Arial"/>
          <w:i/>
          <w:sz w:val="22"/>
          <w:szCs w:val="22"/>
        </w:rPr>
        <w:t xml:space="preserve"> debe observar los requerimientos determinados en la Decisión 416 </w:t>
      </w:r>
      <w:r w:rsidRPr="00F06396">
        <w:rPr>
          <w:rFonts w:cs="Arial"/>
          <w:i/>
          <w:sz w:val="22"/>
          <w:szCs w:val="22"/>
          <w:u w:val="single"/>
        </w:rPr>
        <w:t>pudiendo optar como norma de origen la del Acuerdo de ALADI cuya preferencia el Perú hace extensiva a favor de Colombia o señalar un texto referido a esta aplicación extensiva, indicando la preferencia arancelaria (…%) que el Perú ha otorgado al país con el cual suscribió el Acuerdo de ALADI</w:t>
      </w:r>
      <w:r w:rsidRPr="00F06396">
        <w:rPr>
          <w:rFonts w:cs="Arial"/>
          <w:i/>
          <w:sz w:val="22"/>
          <w:szCs w:val="22"/>
        </w:rPr>
        <w:t>”</w:t>
      </w:r>
    </w:p>
    <w:p w14:paraId="2CABF3D2" w14:textId="77777777" w:rsidR="0034750F" w:rsidRPr="00F06396" w:rsidRDefault="0034750F" w:rsidP="00125988">
      <w:pPr>
        <w:pStyle w:val="Prrafodelista"/>
        <w:widowControl/>
        <w:adjustRightInd/>
        <w:spacing w:line="240" w:lineRule="auto"/>
        <w:ind w:left="348"/>
        <w:textAlignment w:val="auto"/>
        <w:rPr>
          <w:rFonts w:cs="Arial"/>
          <w:sz w:val="22"/>
          <w:szCs w:val="22"/>
        </w:rPr>
      </w:pPr>
    </w:p>
    <w:p w14:paraId="5BB59D53" w14:textId="77777777" w:rsidR="0034750F" w:rsidRPr="00F06396" w:rsidRDefault="0034750F" w:rsidP="00125988">
      <w:pPr>
        <w:pStyle w:val="Prrafodelista"/>
        <w:widowControl/>
        <w:adjustRightInd/>
        <w:spacing w:line="240" w:lineRule="auto"/>
        <w:ind w:left="348"/>
        <w:textAlignment w:val="auto"/>
        <w:rPr>
          <w:rFonts w:cs="Arial"/>
          <w:sz w:val="22"/>
          <w:szCs w:val="22"/>
        </w:rPr>
      </w:pPr>
    </w:p>
    <w:p w14:paraId="6161516B" w14:textId="77777777" w:rsidR="000C1F10" w:rsidRPr="00F06396" w:rsidRDefault="00C44AB7" w:rsidP="00A77268">
      <w:pPr>
        <w:pStyle w:val="Prrafodelista"/>
        <w:widowControl/>
        <w:numPr>
          <w:ilvl w:val="0"/>
          <w:numId w:val="35"/>
        </w:numPr>
        <w:adjustRightInd/>
        <w:spacing w:line="240" w:lineRule="auto"/>
        <w:ind w:left="-12" w:hanging="357"/>
        <w:textAlignment w:val="auto"/>
        <w:rPr>
          <w:rFonts w:cs="Arial"/>
          <w:sz w:val="20"/>
        </w:rPr>
      </w:pPr>
      <w:r w:rsidRPr="00F06396">
        <w:rPr>
          <w:rFonts w:cs="Arial"/>
          <w:bCs/>
          <w:sz w:val="22"/>
          <w:szCs w:val="22"/>
        </w:rPr>
        <w:t xml:space="preserve">Dicha norma fue modificada por la </w:t>
      </w:r>
      <w:r w:rsidR="004200DD" w:rsidRPr="00F06396">
        <w:rPr>
          <w:rFonts w:cs="Arial"/>
          <w:bCs/>
          <w:sz w:val="22"/>
          <w:szCs w:val="22"/>
        </w:rPr>
        <w:t xml:space="preserve">Resolución </w:t>
      </w:r>
      <w:r w:rsidRPr="00F06396">
        <w:rPr>
          <w:rFonts w:cs="Arial"/>
          <w:bCs/>
          <w:sz w:val="22"/>
          <w:szCs w:val="22"/>
        </w:rPr>
        <w:t xml:space="preserve">INTA-PE.01.11 versión 2 del 12 de diciembre de 2003 publicada en el Diario Oficial El </w:t>
      </w:r>
      <w:r w:rsidR="007F7F3F" w:rsidRPr="00F06396">
        <w:rPr>
          <w:rFonts w:cs="Arial"/>
          <w:bCs/>
          <w:sz w:val="22"/>
          <w:szCs w:val="22"/>
        </w:rPr>
        <w:t>Peruano</w:t>
      </w:r>
      <w:r w:rsidRPr="00F06396">
        <w:rPr>
          <w:rFonts w:cs="Arial"/>
          <w:bCs/>
          <w:sz w:val="22"/>
          <w:szCs w:val="22"/>
        </w:rPr>
        <w:t xml:space="preserve"> el día 11 del mismo mes y año</w:t>
      </w:r>
      <w:r w:rsidR="008E29C3" w:rsidRPr="00F06396">
        <w:rPr>
          <w:rFonts w:cs="Arial"/>
          <w:bCs/>
          <w:sz w:val="22"/>
          <w:szCs w:val="22"/>
        </w:rPr>
        <w:t xml:space="preserve">, la cual al tiempo que </w:t>
      </w:r>
      <w:r w:rsidR="00A77268" w:rsidRPr="00F06396">
        <w:rPr>
          <w:rFonts w:cs="Arial"/>
          <w:sz w:val="22"/>
          <w:szCs w:val="22"/>
        </w:rPr>
        <w:t xml:space="preserve">mantuvo las condiciones antes descritas, </w:t>
      </w:r>
      <w:r w:rsidR="008E29C3" w:rsidRPr="00F06396">
        <w:rPr>
          <w:rFonts w:cs="Arial"/>
          <w:sz w:val="22"/>
          <w:szCs w:val="22"/>
        </w:rPr>
        <w:t xml:space="preserve">fue </w:t>
      </w:r>
      <w:r w:rsidR="00A77268" w:rsidRPr="00F06396">
        <w:rPr>
          <w:rFonts w:cs="Arial"/>
          <w:sz w:val="22"/>
          <w:szCs w:val="22"/>
        </w:rPr>
        <w:t>más específic</w:t>
      </w:r>
      <w:r w:rsidR="008E29C3" w:rsidRPr="00F06396">
        <w:rPr>
          <w:rFonts w:cs="Arial"/>
          <w:sz w:val="22"/>
          <w:szCs w:val="22"/>
        </w:rPr>
        <w:t>a</w:t>
      </w:r>
      <w:r w:rsidR="00A77268" w:rsidRPr="00F06396">
        <w:rPr>
          <w:rFonts w:cs="Arial"/>
          <w:sz w:val="22"/>
          <w:szCs w:val="22"/>
        </w:rPr>
        <w:t xml:space="preserve"> en el acápite relativ</w:t>
      </w:r>
      <w:r w:rsidR="008E29C3" w:rsidRPr="00F06396">
        <w:rPr>
          <w:rFonts w:cs="Arial"/>
          <w:sz w:val="22"/>
          <w:szCs w:val="22"/>
        </w:rPr>
        <w:t>o</w:t>
      </w:r>
      <w:r w:rsidR="00A77268" w:rsidRPr="00F06396">
        <w:rPr>
          <w:rFonts w:cs="Arial"/>
          <w:sz w:val="22"/>
          <w:szCs w:val="22"/>
        </w:rPr>
        <w:t xml:space="preserve"> a la CNF, así:</w:t>
      </w:r>
    </w:p>
    <w:p w14:paraId="6D7D4EA9" w14:textId="77777777" w:rsidR="00A77268" w:rsidRPr="00F06396" w:rsidRDefault="00A77268" w:rsidP="00A77268">
      <w:pPr>
        <w:pStyle w:val="Prrafodelista"/>
        <w:widowControl/>
        <w:adjustRightInd/>
        <w:spacing w:line="240" w:lineRule="auto"/>
        <w:ind w:left="-12"/>
        <w:textAlignment w:val="auto"/>
        <w:rPr>
          <w:rFonts w:cs="Arial"/>
          <w:sz w:val="20"/>
        </w:rPr>
      </w:pPr>
    </w:p>
    <w:p w14:paraId="7B3F8C99" w14:textId="77777777" w:rsidR="000C1F10" w:rsidRPr="00F06396" w:rsidRDefault="000C1F10" w:rsidP="000C1F10">
      <w:pPr>
        <w:pStyle w:val="Prrafodelista"/>
        <w:widowControl/>
        <w:adjustRightInd/>
        <w:spacing w:line="240" w:lineRule="auto"/>
        <w:ind w:left="-12"/>
        <w:textAlignment w:val="auto"/>
        <w:rPr>
          <w:rFonts w:cs="Arial"/>
          <w:bCs/>
          <w:i/>
          <w:sz w:val="22"/>
          <w:szCs w:val="22"/>
        </w:rPr>
      </w:pPr>
      <w:r w:rsidRPr="00F06396">
        <w:rPr>
          <w:rFonts w:cs="Arial"/>
          <w:bCs/>
          <w:i/>
          <w:sz w:val="22"/>
          <w:szCs w:val="22"/>
        </w:rPr>
        <w:t>“APLICACIÓN DE LA CLÁUSULA DE LA NACIÓN MÁS FAVORECIDA</w:t>
      </w:r>
    </w:p>
    <w:p w14:paraId="5001B64D" w14:textId="77777777" w:rsidR="000C1F10" w:rsidRPr="00F06396" w:rsidRDefault="000C1F10" w:rsidP="000C1F10">
      <w:pPr>
        <w:pStyle w:val="Prrafodelista"/>
        <w:widowControl/>
        <w:adjustRightInd/>
        <w:spacing w:line="240" w:lineRule="auto"/>
        <w:ind w:left="-12"/>
        <w:textAlignment w:val="auto"/>
        <w:rPr>
          <w:rFonts w:cs="Arial"/>
          <w:bCs/>
          <w:i/>
          <w:sz w:val="22"/>
          <w:szCs w:val="22"/>
        </w:rPr>
      </w:pPr>
      <w:r w:rsidRPr="00F06396">
        <w:rPr>
          <w:rFonts w:cs="Arial"/>
          <w:bCs/>
          <w:i/>
          <w:sz w:val="22"/>
          <w:szCs w:val="22"/>
        </w:rPr>
        <w:t xml:space="preserve">11. Cualquier preferencia arancelaria otorgada por el Perú bajo los mecanismos de la ALADI que resulte más favorable que las preferencias otorgadas en el Programa de Liberación del Perú con los demás Países Miembros de la CAN, es extendida a la mercancía importada originaria y procedente de los Países Miembros de la CAN, según la Cláusula de la Nación Más Favorecida - CNMF del Acuerdo de Cartagena (artículo 155° del AC), siempre que cumpla con los requisitos de las Normas de Origen de la Comunidad Andina y se consigne en el campo “Observaciones” del Certificado de Origen el Acuerdo del País Signatario de la ALADI.” </w:t>
      </w:r>
    </w:p>
    <w:p w14:paraId="6CBB9763" w14:textId="77777777" w:rsidR="000C1F10" w:rsidRPr="00F06396" w:rsidRDefault="000C1F10" w:rsidP="000C1F10">
      <w:pPr>
        <w:widowControl/>
        <w:adjustRightInd/>
        <w:spacing w:line="240" w:lineRule="auto"/>
        <w:textAlignment w:val="auto"/>
        <w:rPr>
          <w:rFonts w:cs="Arial"/>
          <w:bCs/>
          <w:sz w:val="22"/>
          <w:szCs w:val="22"/>
        </w:rPr>
      </w:pPr>
      <w:r w:rsidRPr="00F06396">
        <w:rPr>
          <w:rFonts w:cs="Arial"/>
          <w:bCs/>
          <w:sz w:val="22"/>
          <w:szCs w:val="22"/>
        </w:rPr>
        <w:tab/>
      </w:r>
    </w:p>
    <w:p w14:paraId="73ABB4FC" w14:textId="77777777" w:rsidR="003F4983" w:rsidRPr="00F06396" w:rsidRDefault="00A77268" w:rsidP="00125988">
      <w:pPr>
        <w:pStyle w:val="Prrafodelista"/>
        <w:widowControl/>
        <w:numPr>
          <w:ilvl w:val="0"/>
          <w:numId w:val="35"/>
        </w:numPr>
        <w:adjustRightInd/>
        <w:spacing w:line="240" w:lineRule="auto"/>
        <w:ind w:left="-12" w:hanging="357"/>
        <w:textAlignment w:val="auto"/>
        <w:rPr>
          <w:rFonts w:cs="Arial"/>
          <w:bCs/>
          <w:sz w:val="22"/>
          <w:szCs w:val="22"/>
        </w:rPr>
      </w:pPr>
      <w:r w:rsidRPr="00F06396">
        <w:rPr>
          <w:rFonts w:cs="Arial"/>
          <w:bCs/>
          <w:sz w:val="22"/>
          <w:szCs w:val="22"/>
        </w:rPr>
        <w:t xml:space="preserve">Esta última resolución fue </w:t>
      </w:r>
      <w:r w:rsidR="00C44AB7" w:rsidRPr="00F06396">
        <w:rPr>
          <w:rFonts w:cs="Arial"/>
          <w:bCs/>
          <w:sz w:val="22"/>
          <w:szCs w:val="22"/>
        </w:rPr>
        <w:t>derogada</w:t>
      </w:r>
      <w:r w:rsidR="004200DD" w:rsidRPr="00F06396">
        <w:rPr>
          <w:rFonts w:cs="Arial"/>
          <w:bCs/>
          <w:sz w:val="22"/>
          <w:szCs w:val="22"/>
        </w:rPr>
        <w:t xml:space="preserve"> por la </w:t>
      </w:r>
      <w:r w:rsidR="0001578A" w:rsidRPr="00F06396">
        <w:rPr>
          <w:rFonts w:cs="Arial"/>
          <w:bCs/>
          <w:sz w:val="22"/>
          <w:szCs w:val="22"/>
        </w:rPr>
        <w:t>Resolución de Superintendencia Nacional Adjunta de Aduanas N° 395-2012/SUNAT/A que aprueba el Procedimiento Específico Aplicación de Preferencias al Amparo de la Comunidad Andina de Naciones INTA-PE 01.11 (Versión 3)</w:t>
      </w:r>
      <w:r w:rsidR="00844F21" w:rsidRPr="00F06396">
        <w:rPr>
          <w:rFonts w:cs="Arial"/>
          <w:bCs/>
          <w:sz w:val="22"/>
          <w:szCs w:val="22"/>
        </w:rPr>
        <w:t xml:space="preserve"> </w:t>
      </w:r>
      <w:r w:rsidR="0001578A" w:rsidRPr="00F06396">
        <w:rPr>
          <w:rFonts w:cs="Arial"/>
          <w:bCs/>
          <w:sz w:val="22"/>
          <w:szCs w:val="22"/>
        </w:rPr>
        <w:t>publicada en el Diario Oficial El Peruano el 16 de agosto de 2012</w:t>
      </w:r>
      <w:r w:rsidRPr="00F06396">
        <w:rPr>
          <w:rFonts w:cs="Arial"/>
          <w:bCs/>
          <w:sz w:val="22"/>
          <w:szCs w:val="22"/>
        </w:rPr>
        <w:t xml:space="preserve">, la cual </w:t>
      </w:r>
      <w:r w:rsidR="0001578A" w:rsidRPr="00F06396">
        <w:rPr>
          <w:rFonts w:cs="Arial"/>
          <w:bCs/>
          <w:sz w:val="22"/>
          <w:szCs w:val="22"/>
        </w:rPr>
        <w:t>no contempla entre sus disposiciones la obligación de con</w:t>
      </w:r>
      <w:r w:rsidR="005A1A87" w:rsidRPr="00F06396">
        <w:rPr>
          <w:rFonts w:cs="Arial"/>
          <w:bCs/>
          <w:sz w:val="22"/>
          <w:szCs w:val="22"/>
        </w:rPr>
        <w:t>signar</w:t>
      </w:r>
      <w:r w:rsidR="0001578A" w:rsidRPr="00F06396">
        <w:rPr>
          <w:rFonts w:cs="Arial"/>
          <w:bCs/>
          <w:sz w:val="22"/>
          <w:szCs w:val="22"/>
        </w:rPr>
        <w:t xml:space="preserve"> el acuerdo</w:t>
      </w:r>
      <w:r w:rsidR="00844F21" w:rsidRPr="00F06396">
        <w:rPr>
          <w:rFonts w:cs="Arial"/>
          <w:bCs/>
          <w:sz w:val="22"/>
          <w:szCs w:val="22"/>
        </w:rPr>
        <w:t xml:space="preserve"> cuya preferencia se invoca,</w:t>
      </w:r>
      <w:r w:rsidR="0001578A" w:rsidRPr="00F06396">
        <w:rPr>
          <w:rFonts w:cs="Arial"/>
          <w:bCs/>
          <w:sz w:val="22"/>
          <w:szCs w:val="22"/>
        </w:rPr>
        <w:t xml:space="preserve"> en el rubro “Observaciones” del certificado de origen</w:t>
      </w:r>
      <w:r w:rsidRPr="00F06396">
        <w:rPr>
          <w:rFonts w:cs="Arial"/>
          <w:bCs/>
          <w:sz w:val="22"/>
          <w:szCs w:val="22"/>
        </w:rPr>
        <w:t xml:space="preserve">; ello, debido a </w:t>
      </w:r>
      <w:r w:rsidR="008E29C3" w:rsidRPr="00F06396">
        <w:rPr>
          <w:rFonts w:cs="Arial"/>
          <w:bCs/>
          <w:sz w:val="22"/>
          <w:szCs w:val="22"/>
        </w:rPr>
        <w:lastRenderedPageBreak/>
        <w:t xml:space="preserve">que </w:t>
      </w:r>
      <w:r w:rsidRPr="00F06396">
        <w:rPr>
          <w:rFonts w:cs="Arial"/>
          <w:bCs/>
          <w:sz w:val="22"/>
          <w:szCs w:val="22"/>
        </w:rPr>
        <w:t xml:space="preserve">la consolidación del Programa de Liberación </w:t>
      </w:r>
      <w:r w:rsidR="008E29C3" w:rsidRPr="00F06396">
        <w:rPr>
          <w:rFonts w:cs="Arial"/>
          <w:bCs/>
          <w:sz w:val="22"/>
          <w:szCs w:val="22"/>
        </w:rPr>
        <w:t xml:space="preserve">en la subregión andina lo hizo </w:t>
      </w:r>
      <w:r w:rsidRPr="00F06396">
        <w:rPr>
          <w:rFonts w:cs="Arial"/>
          <w:bCs/>
          <w:sz w:val="22"/>
          <w:szCs w:val="22"/>
        </w:rPr>
        <w:t>innecesari</w:t>
      </w:r>
      <w:r w:rsidR="008E29C3" w:rsidRPr="00F06396">
        <w:rPr>
          <w:rFonts w:cs="Arial"/>
          <w:bCs/>
          <w:sz w:val="22"/>
          <w:szCs w:val="22"/>
        </w:rPr>
        <w:t>o</w:t>
      </w:r>
      <w:r w:rsidR="0001578A" w:rsidRPr="00F06396">
        <w:rPr>
          <w:rFonts w:cs="Arial"/>
          <w:bCs/>
          <w:sz w:val="22"/>
          <w:szCs w:val="22"/>
        </w:rPr>
        <w:t xml:space="preserve">. </w:t>
      </w:r>
    </w:p>
    <w:p w14:paraId="1D4B29DA" w14:textId="77777777" w:rsidR="008E29C3" w:rsidRPr="00F06396" w:rsidRDefault="008E29C3" w:rsidP="008E29C3">
      <w:pPr>
        <w:widowControl/>
        <w:adjustRightInd/>
        <w:spacing w:line="240" w:lineRule="auto"/>
        <w:textAlignment w:val="auto"/>
        <w:rPr>
          <w:rFonts w:cs="Arial"/>
          <w:bCs/>
          <w:sz w:val="22"/>
          <w:szCs w:val="22"/>
        </w:rPr>
      </w:pPr>
    </w:p>
    <w:p w14:paraId="67913EE0" w14:textId="77777777" w:rsidR="009834B3" w:rsidRPr="00F06396" w:rsidRDefault="00593D9E" w:rsidP="008E29C3">
      <w:pPr>
        <w:pStyle w:val="Prrafodelista"/>
        <w:widowControl/>
        <w:numPr>
          <w:ilvl w:val="0"/>
          <w:numId w:val="35"/>
        </w:numPr>
        <w:adjustRightInd/>
        <w:spacing w:line="240" w:lineRule="auto"/>
        <w:ind w:left="0" w:hanging="357"/>
        <w:textAlignment w:val="auto"/>
        <w:rPr>
          <w:rFonts w:cs="Arial"/>
          <w:bCs/>
          <w:sz w:val="22"/>
          <w:szCs w:val="22"/>
        </w:rPr>
      </w:pPr>
      <w:r w:rsidRPr="00F06396">
        <w:rPr>
          <w:rFonts w:cs="Arial"/>
          <w:bCs/>
          <w:sz w:val="22"/>
          <w:szCs w:val="22"/>
        </w:rPr>
        <w:t>S</w:t>
      </w:r>
      <w:r w:rsidR="009834B3" w:rsidRPr="00F06396">
        <w:rPr>
          <w:rFonts w:cs="Arial"/>
          <w:bCs/>
          <w:sz w:val="22"/>
          <w:szCs w:val="22"/>
        </w:rPr>
        <w:t xml:space="preserve">e </w:t>
      </w:r>
      <w:r w:rsidR="008E29C3" w:rsidRPr="00F06396">
        <w:rPr>
          <w:rFonts w:cs="Arial"/>
          <w:bCs/>
          <w:sz w:val="22"/>
          <w:szCs w:val="22"/>
        </w:rPr>
        <w:t>anota que la práctica</w:t>
      </w:r>
      <w:r w:rsidR="009834B3" w:rsidRPr="00F06396">
        <w:rPr>
          <w:rFonts w:cs="Arial"/>
          <w:bCs/>
          <w:sz w:val="22"/>
          <w:szCs w:val="22"/>
        </w:rPr>
        <w:t xml:space="preserve"> </w:t>
      </w:r>
      <w:r w:rsidR="008E29C3" w:rsidRPr="00F06396">
        <w:rPr>
          <w:rFonts w:cs="Arial"/>
          <w:bCs/>
          <w:sz w:val="22"/>
          <w:szCs w:val="22"/>
        </w:rPr>
        <w:t>de consignar en el rubro “observaciones” la preferencia arancelaria a la que el operador económico desea acogerse</w:t>
      </w:r>
      <w:r w:rsidR="009834B3" w:rsidRPr="00F06396">
        <w:rPr>
          <w:rFonts w:cs="Arial"/>
          <w:bCs/>
          <w:sz w:val="22"/>
          <w:szCs w:val="22"/>
        </w:rPr>
        <w:t xml:space="preserve">, </w:t>
      </w:r>
      <w:r w:rsidR="008E29C3" w:rsidRPr="00F06396">
        <w:rPr>
          <w:rFonts w:cs="Arial"/>
          <w:bCs/>
          <w:sz w:val="22"/>
          <w:szCs w:val="22"/>
        </w:rPr>
        <w:t>data al menos de la época de la primera resolución de intendencia citada</w:t>
      </w:r>
      <w:r w:rsidRPr="00F06396">
        <w:rPr>
          <w:rFonts w:cs="Arial"/>
          <w:bCs/>
          <w:sz w:val="22"/>
          <w:szCs w:val="22"/>
        </w:rPr>
        <w:t xml:space="preserve"> y era conocida y aceptada por los reclamantes</w:t>
      </w:r>
      <w:r w:rsidR="009834B3" w:rsidRPr="00F06396">
        <w:rPr>
          <w:rFonts w:cs="Arial"/>
          <w:bCs/>
          <w:sz w:val="22"/>
          <w:szCs w:val="22"/>
        </w:rPr>
        <w:t>.</w:t>
      </w:r>
      <w:r w:rsidRPr="00F06396">
        <w:rPr>
          <w:rFonts w:cs="Arial"/>
          <w:bCs/>
          <w:sz w:val="22"/>
          <w:szCs w:val="22"/>
        </w:rPr>
        <w:t xml:space="preserve"> </w:t>
      </w:r>
      <w:r w:rsidR="009834B3" w:rsidRPr="00F06396">
        <w:rPr>
          <w:rFonts w:cs="Arial"/>
          <w:bCs/>
          <w:sz w:val="22"/>
          <w:szCs w:val="22"/>
        </w:rPr>
        <w:t xml:space="preserve">Así, se </w:t>
      </w:r>
      <w:r w:rsidR="008E29C3" w:rsidRPr="00F06396">
        <w:rPr>
          <w:rFonts w:cs="Arial"/>
          <w:bCs/>
          <w:sz w:val="22"/>
          <w:szCs w:val="22"/>
        </w:rPr>
        <w:t>consiga en el campo 2</w:t>
      </w:r>
      <w:r w:rsidR="009834B3" w:rsidRPr="00F06396">
        <w:rPr>
          <w:rFonts w:cs="Arial"/>
          <w:bCs/>
          <w:sz w:val="22"/>
          <w:szCs w:val="22"/>
        </w:rPr>
        <w:t xml:space="preserve"> de un certificado de origen presentado por una de las reclamantes lo siguiente</w:t>
      </w:r>
      <w:r w:rsidR="008E29C3" w:rsidRPr="00F06396">
        <w:rPr>
          <w:rFonts w:cs="Arial"/>
          <w:bCs/>
          <w:sz w:val="22"/>
          <w:szCs w:val="22"/>
        </w:rPr>
        <w:t xml:space="preserve">: </w:t>
      </w:r>
    </w:p>
    <w:p w14:paraId="4A25F76F" w14:textId="77777777" w:rsidR="009834B3" w:rsidRPr="00F06396" w:rsidRDefault="009834B3" w:rsidP="009834B3">
      <w:pPr>
        <w:pStyle w:val="Prrafodelista"/>
        <w:widowControl/>
        <w:adjustRightInd/>
        <w:spacing w:line="240" w:lineRule="auto"/>
        <w:ind w:left="0"/>
        <w:textAlignment w:val="auto"/>
        <w:rPr>
          <w:rFonts w:cs="Arial"/>
          <w:bCs/>
          <w:i/>
          <w:sz w:val="22"/>
          <w:szCs w:val="22"/>
        </w:rPr>
      </w:pPr>
    </w:p>
    <w:p w14:paraId="2D9231EB" w14:textId="77777777" w:rsidR="008E29C3" w:rsidRPr="00F06396" w:rsidRDefault="008E29C3" w:rsidP="009834B3">
      <w:pPr>
        <w:pStyle w:val="Prrafodelista"/>
        <w:widowControl/>
        <w:adjustRightInd/>
        <w:spacing w:line="240" w:lineRule="auto"/>
        <w:ind w:left="0"/>
        <w:textAlignment w:val="auto"/>
        <w:rPr>
          <w:rFonts w:cs="Arial"/>
          <w:bCs/>
          <w:i/>
          <w:sz w:val="22"/>
          <w:szCs w:val="22"/>
        </w:rPr>
      </w:pPr>
      <w:r w:rsidRPr="00F06396">
        <w:rPr>
          <w:rFonts w:cs="Arial"/>
          <w:bCs/>
          <w:i/>
          <w:sz w:val="22"/>
          <w:szCs w:val="22"/>
        </w:rPr>
        <w:t xml:space="preserve">“Acuerdo de Cartagena o Comunidad Andina”, y en el campo observaciones </w:t>
      </w:r>
      <w:r w:rsidR="009834B3" w:rsidRPr="00F06396">
        <w:rPr>
          <w:rFonts w:cs="Arial"/>
          <w:bCs/>
          <w:i/>
          <w:sz w:val="22"/>
          <w:szCs w:val="22"/>
        </w:rPr>
        <w:t xml:space="preserve">se </w:t>
      </w:r>
      <w:r w:rsidRPr="00F06396">
        <w:rPr>
          <w:rFonts w:cs="Arial"/>
          <w:bCs/>
          <w:i/>
          <w:sz w:val="22"/>
          <w:szCs w:val="22"/>
        </w:rPr>
        <w:t>precisa: “Decisión 414, Anexo VI de la Comisión de la Comunidad Andina. De conformidad con el artículo 155 del Acuerdo de Cartagena, relativo a la Cláusula de Nación Más Favorecida, corresponde aplicar la preferencia arancelaria del 15% otorgada por el Perú a Paraguay en el Primer Protocolo Modificatorio del Acuerdo de Alcance Regional N° 4 de la ALADI (PAR 4)”.</w:t>
      </w:r>
    </w:p>
    <w:p w14:paraId="5C91E0FB" w14:textId="77777777" w:rsidR="0001578A" w:rsidRPr="00F06396" w:rsidRDefault="0001578A" w:rsidP="00125988">
      <w:pPr>
        <w:pStyle w:val="Prrafodelista"/>
        <w:spacing w:line="240" w:lineRule="auto"/>
        <w:rPr>
          <w:rFonts w:cs="Arial"/>
          <w:bCs/>
          <w:sz w:val="22"/>
          <w:szCs w:val="22"/>
        </w:rPr>
      </w:pPr>
    </w:p>
    <w:p w14:paraId="6370EA81" w14:textId="77777777" w:rsidR="00593D9E" w:rsidRPr="00F06396" w:rsidRDefault="009834B3" w:rsidP="00147F7A">
      <w:pPr>
        <w:pStyle w:val="Prrafodelista"/>
        <w:widowControl/>
        <w:numPr>
          <w:ilvl w:val="0"/>
          <w:numId w:val="35"/>
        </w:numPr>
        <w:adjustRightInd/>
        <w:spacing w:line="240" w:lineRule="auto"/>
        <w:ind w:left="-12" w:hanging="357"/>
        <w:textAlignment w:val="auto"/>
        <w:rPr>
          <w:rFonts w:cs="Arial"/>
          <w:bCs/>
          <w:sz w:val="22"/>
          <w:szCs w:val="22"/>
        </w:rPr>
      </w:pPr>
      <w:r w:rsidRPr="00F06396">
        <w:rPr>
          <w:rFonts w:cs="Arial"/>
          <w:bCs/>
          <w:sz w:val="22"/>
          <w:szCs w:val="22"/>
        </w:rPr>
        <w:t>Como se ha señalado en los casos que refieren las propias reclamantes</w:t>
      </w:r>
      <w:r w:rsidR="00593D9E" w:rsidRPr="00F06396">
        <w:rPr>
          <w:rFonts w:cs="Arial"/>
          <w:bCs/>
          <w:sz w:val="22"/>
          <w:szCs w:val="22"/>
        </w:rPr>
        <w:t xml:space="preserve"> en sus respectivos escritos</w:t>
      </w:r>
      <w:r w:rsidRPr="00F06396">
        <w:rPr>
          <w:rFonts w:cs="Arial"/>
          <w:bCs/>
          <w:sz w:val="22"/>
          <w:szCs w:val="22"/>
        </w:rPr>
        <w:t xml:space="preserve">, </w:t>
      </w:r>
      <w:r w:rsidR="00201D14" w:rsidRPr="00F06396">
        <w:rPr>
          <w:rFonts w:cs="Arial"/>
          <w:bCs/>
          <w:sz w:val="22"/>
          <w:szCs w:val="22"/>
        </w:rPr>
        <w:t xml:space="preserve">el principio del complemento indispensable </w:t>
      </w:r>
      <w:r w:rsidRPr="00F06396">
        <w:rPr>
          <w:rFonts w:cs="Arial"/>
          <w:bCs/>
          <w:sz w:val="22"/>
          <w:szCs w:val="22"/>
        </w:rPr>
        <w:t xml:space="preserve">no es admisible </w:t>
      </w:r>
      <w:r w:rsidR="00201D14" w:rsidRPr="00F06396">
        <w:rPr>
          <w:rFonts w:cs="Arial"/>
          <w:bCs/>
          <w:sz w:val="22"/>
          <w:szCs w:val="22"/>
        </w:rPr>
        <w:t xml:space="preserve">cuando so pretexto de regular una situación no contemplada en la normativa andina, </w:t>
      </w:r>
      <w:r w:rsidRPr="00F06396">
        <w:rPr>
          <w:rFonts w:cs="Arial"/>
          <w:bCs/>
          <w:sz w:val="22"/>
          <w:szCs w:val="22"/>
        </w:rPr>
        <w:t>tal regulación contradice,</w:t>
      </w:r>
      <w:r w:rsidR="00201D14" w:rsidRPr="00F06396">
        <w:rPr>
          <w:rFonts w:cs="Arial"/>
          <w:bCs/>
          <w:sz w:val="22"/>
          <w:szCs w:val="22"/>
        </w:rPr>
        <w:t xml:space="preserve"> tergiversa o desnaturaliza</w:t>
      </w:r>
      <w:r w:rsidRPr="00F06396">
        <w:rPr>
          <w:rFonts w:cs="Arial"/>
          <w:bCs/>
          <w:sz w:val="22"/>
          <w:szCs w:val="22"/>
        </w:rPr>
        <w:t xml:space="preserve"> la normativa comunitaria</w:t>
      </w:r>
      <w:r w:rsidR="00201D14" w:rsidRPr="00F06396">
        <w:rPr>
          <w:rFonts w:cs="Arial"/>
          <w:bCs/>
          <w:sz w:val="22"/>
          <w:szCs w:val="22"/>
        </w:rPr>
        <w:t>.</w:t>
      </w:r>
      <w:r w:rsidRPr="00F06396">
        <w:rPr>
          <w:rFonts w:cs="Arial"/>
          <w:bCs/>
          <w:sz w:val="22"/>
          <w:szCs w:val="22"/>
        </w:rPr>
        <w:t xml:space="preserve"> </w:t>
      </w:r>
    </w:p>
    <w:p w14:paraId="7DE13139" w14:textId="77777777" w:rsidR="00593D9E" w:rsidRPr="00F06396" w:rsidRDefault="00593D9E" w:rsidP="00593D9E">
      <w:pPr>
        <w:pStyle w:val="Prrafodelista"/>
        <w:widowControl/>
        <w:adjustRightInd/>
        <w:spacing w:line="240" w:lineRule="auto"/>
        <w:ind w:left="-12"/>
        <w:textAlignment w:val="auto"/>
        <w:rPr>
          <w:rFonts w:cs="Arial"/>
          <w:bCs/>
          <w:sz w:val="22"/>
          <w:szCs w:val="22"/>
        </w:rPr>
      </w:pPr>
    </w:p>
    <w:p w14:paraId="432A5A28" w14:textId="77777777" w:rsidR="00851FCB" w:rsidRPr="00F06396" w:rsidRDefault="009834B3" w:rsidP="00147F7A">
      <w:pPr>
        <w:pStyle w:val="Prrafodelista"/>
        <w:widowControl/>
        <w:numPr>
          <w:ilvl w:val="0"/>
          <w:numId w:val="35"/>
        </w:numPr>
        <w:adjustRightInd/>
        <w:spacing w:line="240" w:lineRule="auto"/>
        <w:ind w:left="-12" w:hanging="357"/>
        <w:textAlignment w:val="auto"/>
        <w:rPr>
          <w:rFonts w:cs="Arial"/>
          <w:bCs/>
          <w:sz w:val="22"/>
          <w:szCs w:val="22"/>
        </w:rPr>
      </w:pPr>
      <w:r w:rsidRPr="00F06396">
        <w:rPr>
          <w:rFonts w:cs="Arial"/>
          <w:bCs/>
          <w:sz w:val="22"/>
          <w:szCs w:val="22"/>
        </w:rPr>
        <w:t>La normativa andina, en lo que respecta al formato del certificado de origen y su llenado, se acoge a lo dispuesto en el Acuerdo N° 25 de ALADI, la cual, a su turno</w:t>
      </w:r>
      <w:r w:rsidR="00851FCB" w:rsidRPr="00F06396">
        <w:rPr>
          <w:rFonts w:cs="Arial"/>
          <w:bCs/>
          <w:sz w:val="22"/>
          <w:szCs w:val="22"/>
        </w:rPr>
        <w:t xml:space="preserve"> y como hemos señalado antes</w:t>
      </w:r>
      <w:r w:rsidRPr="00F06396">
        <w:rPr>
          <w:rFonts w:cs="Arial"/>
          <w:bCs/>
          <w:sz w:val="22"/>
          <w:szCs w:val="22"/>
        </w:rPr>
        <w:t xml:space="preserve">, no regula específicamente lo que debe o no consignarse en el </w:t>
      </w:r>
      <w:r w:rsidR="00201D14" w:rsidRPr="00F06396">
        <w:rPr>
          <w:rFonts w:cs="Arial"/>
          <w:bCs/>
          <w:sz w:val="22"/>
          <w:szCs w:val="22"/>
        </w:rPr>
        <w:t>rubro de “observaciones”</w:t>
      </w:r>
      <w:r w:rsidR="00851FCB" w:rsidRPr="00F06396">
        <w:rPr>
          <w:rFonts w:cs="Arial"/>
          <w:bCs/>
          <w:sz w:val="22"/>
          <w:szCs w:val="22"/>
        </w:rPr>
        <w:t xml:space="preserve"> de tales certificados. Como quiera que lo relativo al llenado y trámite de los formatos de los certificados de origen no es </w:t>
      </w:r>
      <w:r w:rsidR="00593D9E" w:rsidRPr="00F06396">
        <w:rPr>
          <w:rFonts w:cs="Arial"/>
          <w:bCs/>
          <w:sz w:val="22"/>
          <w:szCs w:val="22"/>
        </w:rPr>
        <w:t xml:space="preserve">un asunto que sea </w:t>
      </w:r>
      <w:r w:rsidR="00851FCB" w:rsidRPr="00F06396">
        <w:rPr>
          <w:rFonts w:cs="Arial"/>
          <w:bCs/>
          <w:sz w:val="22"/>
          <w:szCs w:val="22"/>
        </w:rPr>
        <w:t>regulado comunitariamente</w:t>
      </w:r>
      <w:r w:rsidR="00593D9E" w:rsidRPr="00F06396">
        <w:rPr>
          <w:rFonts w:cs="Arial"/>
          <w:bCs/>
          <w:sz w:val="22"/>
          <w:szCs w:val="22"/>
        </w:rPr>
        <w:t>, por cuanto ésta se limita a fijar el formato</w:t>
      </w:r>
      <w:r w:rsidR="00851FCB" w:rsidRPr="00F06396">
        <w:rPr>
          <w:rFonts w:cs="Arial"/>
          <w:bCs/>
          <w:sz w:val="22"/>
          <w:szCs w:val="22"/>
        </w:rPr>
        <w:t>, resulta viable que los Países Miembros reg</w:t>
      </w:r>
      <w:r w:rsidR="00593D9E" w:rsidRPr="00F06396">
        <w:rPr>
          <w:rFonts w:cs="Arial"/>
          <w:bCs/>
          <w:sz w:val="22"/>
          <w:szCs w:val="22"/>
        </w:rPr>
        <w:t>lamenten</w:t>
      </w:r>
      <w:r w:rsidR="00851FCB" w:rsidRPr="00F06396">
        <w:rPr>
          <w:rFonts w:cs="Arial"/>
          <w:bCs/>
          <w:sz w:val="22"/>
          <w:szCs w:val="22"/>
        </w:rPr>
        <w:t xml:space="preserve"> estos aspectos en el ámbito nacional, por vía del principio del complemento indispensable</w:t>
      </w:r>
      <w:r w:rsidR="00593D9E" w:rsidRPr="00F06396">
        <w:rPr>
          <w:rFonts w:cs="Arial"/>
          <w:bCs/>
          <w:sz w:val="22"/>
          <w:szCs w:val="22"/>
        </w:rPr>
        <w:t xml:space="preserve"> a condición que dicha reglamentación sea  consistente con la norma andina y haga viable o facilite su aplicación</w:t>
      </w:r>
      <w:r w:rsidR="00851FCB" w:rsidRPr="00F06396">
        <w:rPr>
          <w:rFonts w:cs="Arial"/>
          <w:bCs/>
          <w:sz w:val="22"/>
          <w:szCs w:val="22"/>
        </w:rPr>
        <w:t>.</w:t>
      </w:r>
    </w:p>
    <w:p w14:paraId="4AD19383" w14:textId="77777777" w:rsidR="00851FCB" w:rsidRPr="00F06396" w:rsidRDefault="00851FCB" w:rsidP="00851FCB">
      <w:pPr>
        <w:pStyle w:val="Prrafodelista"/>
        <w:rPr>
          <w:rFonts w:cs="Arial"/>
          <w:bCs/>
          <w:sz w:val="22"/>
          <w:szCs w:val="22"/>
        </w:rPr>
      </w:pPr>
    </w:p>
    <w:p w14:paraId="6514E067" w14:textId="77777777" w:rsidR="000764C6" w:rsidRPr="00F06396" w:rsidRDefault="00593D9E" w:rsidP="00147F7A">
      <w:pPr>
        <w:pStyle w:val="Prrafodelista"/>
        <w:widowControl/>
        <w:numPr>
          <w:ilvl w:val="0"/>
          <w:numId w:val="35"/>
        </w:numPr>
        <w:adjustRightInd/>
        <w:spacing w:line="240" w:lineRule="auto"/>
        <w:ind w:left="-12" w:hanging="357"/>
        <w:textAlignment w:val="auto"/>
        <w:rPr>
          <w:rFonts w:cs="Arial"/>
          <w:bCs/>
          <w:sz w:val="22"/>
          <w:szCs w:val="22"/>
        </w:rPr>
      </w:pPr>
      <w:r w:rsidRPr="00F06396">
        <w:rPr>
          <w:rFonts w:cs="Arial"/>
          <w:bCs/>
          <w:sz w:val="22"/>
          <w:szCs w:val="22"/>
        </w:rPr>
        <w:t xml:space="preserve">En ese orden de ideas, </w:t>
      </w:r>
      <w:r w:rsidR="00247418" w:rsidRPr="00F06396">
        <w:rPr>
          <w:rFonts w:cs="Arial"/>
          <w:bCs/>
          <w:sz w:val="22"/>
          <w:szCs w:val="22"/>
        </w:rPr>
        <w:t>en</w:t>
      </w:r>
      <w:r w:rsidR="00851FCB" w:rsidRPr="00F06396">
        <w:rPr>
          <w:rFonts w:cs="Arial"/>
          <w:bCs/>
          <w:sz w:val="22"/>
          <w:szCs w:val="22"/>
        </w:rPr>
        <w:t xml:space="preserve"> lo que corresponde a las reglas de origen, se verifica que tal exigencia no modifica el criterio de origen que pueda ser aplicable</w:t>
      </w:r>
      <w:r w:rsidR="00147F7A" w:rsidRPr="00F06396">
        <w:rPr>
          <w:rFonts w:cs="Arial"/>
          <w:bCs/>
          <w:sz w:val="22"/>
          <w:szCs w:val="22"/>
        </w:rPr>
        <w:t xml:space="preserve"> y antes bien permite evaluar de mejor manera </w:t>
      </w:r>
      <w:r w:rsidR="00851FCB" w:rsidRPr="00F06396">
        <w:rPr>
          <w:rFonts w:cs="Arial"/>
          <w:bCs/>
          <w:sz w:val="22"/>
          <w:szCs w:val="22"/>
        </w:rPr>
        <w:t xml:space="preserve">su pertinencia a la luz del acuerdo preferencial invocado. Asimismo refleja en el certificado </w:t>
      </w:r>
      <w:r w:rsidR="00230166" w:rsidRPr="00F06396">
        <w:rPr>
          <w:rFonts w:cs="Arial"/>
          <w:bCs/>
          <w:sz w:val="22"/>
          <w:szCs w:val="22"/>
        </w:rPr>
        <w:t xml:space="preserve">lo que el propio operador comercial de suyo </w:t>
      </w:r>
      <w:r w:rsidR="00851FCB" w:rsidRPr="00F06396">
        <w:rPr>
          <w:rFonts w:cs="Arial"/>
          <w:bCs/>
          <w:sz w:val="22"/>
          <w:szCs w:val="22"/>
        </w:rPr>
        <w:t xml:space="preserve">ya </w:t>
      </w:r>
      <w:r w:rsidR="00230166" w:rsidRPr="00F06396">
        <w:rPr>
          <w:rFonts w:cs="Arial"/>
          <w:bCs/>
          <w:sz w:val="22"/>
          <w:szCs w:val="22"/>
        </w:rPr>
        <w:t>consigna en la DUA.</w:t>
      </w:r>
      <w:r w:rsidR="000764C6" w:rsidRPr="00F06396">
        <w:rPr>
          <w:rFonts w:cs="Arial"/>
          <w:bCs/>
          <w:sz w:val="22"/>
          <w:szCs w:val="22"/>
        </w:rPr>
        <w:t xml:space="preserve"> </w:t>
      </w:r>
    </w:p>
    <w:p w14:paraId="6CF1CB1F" w14:textId="77777777" w:rsidR="000764C6" w:rsidRPr="00F06396" w:rsidRDefault="000764C6" w:rsidP="000764C6">
      <w:pPr>
        <w:pStyle w:val="Prrafodelista"/>
        <w:rPr>
          <w:rFonts w:cs="Arial"/>
          <w:bCs/>
          <w:sz w:val="22"/>
          <w:szCs w:val="22"/>
        </w:rPr>
      </w:pPr>
    </w:p>
    <w:p w14:paraId="130A6032" w14:textId="77777777" w:rsidR="00851FCB" w:rsidRPr="00F06396" w:rsidRDefault="000764C6" w:rsidP="00230166">
      <w:pPr>
        <w:pStyle w:val="Prrafodelista"/>
        <w:widowControl/>
        <w:numPr>
          <w:ilvl w:val="0"/>
          <w:numId w:val="35"/>
        </w:numPr>
        <w:adjustRightInd/>
        <w:spacing w:line="240" w:lineRule="auto"/>
        <w:ind w:left="-12" w:hanging="357"/>
        <w:textAlignment w:val="auto"/>
        <w:rPr>
          <w:rFonts w:cs="Arial"/>
          <w:sz w:val="22"/>
          <w:szCs w:val="22"/>
        </w:rPr>
      </w:pPr>
      <w:r w:rsidRPr="00F06396">
        <w:rPr>
          <w:rFonts w:cs="Arial"/>
          <w:bCs/>
          <w:sz w:val="22"/>
          <w:szCs w:val="22"/>
        </w:rPr>
        <w:t>En lo relativo al artículo 139 del Acuerdo, la consignación del acuerdo y porcentaje preferencial específicos ayuda a</w:t>
      </w:r>
      <w:r w:rsidR="00247418" w:rsidRPr="00F06396">
        <w:rPr>
          <w:rFonts w:cs="Arial"/>
          <w:bCs/>
          <w:sz w:val="22"/>
          <w:szCs w:val="22"/>
        </w:rPr>
        <w:t xml:space="preserve"> la autoridad aduanera a aplicar </w:t>
      </w:r>
      <w:r w:rsidRPr="00F06396">
        <w:rPr>
          <w:rFonts w:cs="Arial"/>
          <w:bCs/>
          <w:sz w:val="22"/>
          <w:szCs w:val="22"/>
        </w:rPr>
        <w:t xml:space="preserve">el mejor trato aplicable, </w:t>
      </w:r>
      <w:r w:rsidR="00247418" w:rsidRPr="00F06396">
        <w:rPr>
          <w:rFonts w:cs="Arial"/>
          <w:bCs/>
          <w:sz w:val="22"/>
          <w:szCs w:val="22"/>
        </w:rPr>
        <w:t>teniendo</w:t>
      </w:r>
      <w:r w:rsidRPr="00F06396">
        <w:rPr>
          <w:rFonts w:cs="Arial"/>
          <w:bCs/>
          <w:sz w:val="22"/>
          <w:szCs w:val="22"/>
        </w:rPr>
        <w:t xml:space="preserve"> presente que no le es dada a la autoridad aduanera la posibilidad de interpretar la normativa (nacional o comunitaria) sino únicamente de aplicarla y que los oficiales de aduana no pueden sustituirse de en la acción del operador económico, quien es el llamado a </w:t>
      </w:r>
      <w:r w:rsidR="00247418" w:rsidRPr="00F06396">
        <w:rPr>
          <w:rFonts w:cs="Arial"/>
          <w:bCs/>
          <w:sz w:val="22"/>
          <w:szCs w:val="22"/>
        </w:rPr>
        <w:t xml:space="preserve">identificar </w:t>
      </w:r>
      <w:r w:rsidRPr="00F06396">
        <w:rPr>
          <w:rFonts w:cs="Arial"/>
          <w:bCs/>
          <w:sz w:val="22"/>
          <w:szCs w:val="22"/>
        </w:rPr>
        <w:t>la preferencia de su interés</w:t>
      </w:r>
      <w:r w:rsidR="00247418" w:rsidRPr="00F06396">
        <w:rPr>
          <w:rFonts w:cs="Arial"/>
          <w:bCs/>
          <w:sz w:val="22"/>
          <w:szCs w:val="22"/>
        </w:rPr>
        <w:t>, escogerla o renunciarla</w:t>
      </w:r>
      <w:r w:rsidRPr="00F06396">
        <w:rPr>
          <w:rFonts w:cs="Arial"/>
          <w:bCs/>
          <w:sz w:val="22"/>
          <w:szCs w:val="22"/>
        </w:rPr>
        <w:t>, máxime si coexisten al mismo tiempo varios acuerdos preferenciales que puedan ser aplicables a</w:t>
      </w:r>
      <w:r w:rsidR="00247418" w:rsidRPr="00F06396">
        <w:rPr>
          <w:rFonts w:cs="Arial"/>
          <w:bCs/>
          <w:sz w:val="22"/>
          <w:szCs w:val="22"/>
        </w:rPr>
        <w:t>l mismo tiempo a</w:t>
      </w:r>
      <w:r w:rsidRPr="00F06396">
        <w:rPr>
          <w:rFonts w:cs="Arial"/>
          <w:bCs/>
          <w:sz w:val="22"/>
          <w:szCs w:val="22"/>
        </w:rPr>
        <w:t xml:space="preserve"> la mercancía en cuestión.</w:t>
      </w:r>
      <w:r w:rsidR="00247418" w:rsidRPr="00F06396">
        <w:rPr>
          <w:rFonts w:cs="Arial"/>
          <w:bCs/>
          <w:sz w:val="22"/>
          <w:szCs w:val="22"/>
        </w:rPr>
        <w:t xml:space="preserve"> Se hace po</w:t>
      </w:r>
      <w:r w:rsidRPr="00F06396">
        <w:rPr>
          <w:rFonts w:cs="Arial"/>
          <w:bCs/>
          <w:sz w:val="22"/>
          <w:szCs w:val="22"/>
        </w:rPr>
        <w:t>sible</w:t>
      </w:r>
      <w:r w:rsidR="00247418" w:rsidRPr="00F06396">
        <w:rPr>
          <w:rFonts w:cs="Arial"/>
          <w:bCs/>
          <w:sz w:val="22"/>
          <w:szCs w:val="22"/>
        </w:rPr>
        <w:t xml:space="preserve"> de este modo,</w:t>
      </w:r>
      <w:r w:rsidRPr="00F06396">
        <w:rPr>
          <w:rFonts w:cs="Arial"/>
          <w:bCs/>
          <w:sz w:val="22"/>
          <w:szCs w:val="22"/>
        </w:rPr>
        <w:t xml:space="preserve"> </w:t>
      </w:r>
      <w:r w:rsidR="00851FCB" w:rsidRPr="00F06396">
        <w:rPr>
          <w:rFonts w:cs="Arial"/>
          <w:bCs/>
          <w:sz w:val="22"/>
          <w:szCs w:val="22"/>
        </w:rPr>
        <w:t xml:space="preserve">establecer </w:t>
      </w:r>
      <w:r w:rsidRPr="00F06396">
        <w:rPr>
          <w:rFonts w:cs="Arial"/>
          <w:bCs/>
          <w:sz w:val="22"/>
          <w:szCs w:val="22"/>
        </w:rPr>
        <w:t>el</w:t>
      </w:r>
      <w:r w:rsidR="00851FCB" w:rsidRPr="00F06396">
        <w:rPr>
          <w:rFonts w:cs="Arial"/>
          <w:bCs/>
          <w:sz w:val="22"/>
          <w:szCs w:val="22"/>
        </w:rPr>
        <w:t xml:space="preserve"> trato igualitario que debe existir entre lo que se concede a un tercero</w:t>
      </w:r>
      <w:r w:rsidR="00247418" w:rsidRPr="00F06396">
        <w:rPr>
          <w:rFonts w:cs="Arial"/>
          <w:bCs/>
          <w:sz w:val="22"/>
          <w:szCs w:val="22"/>
        </w:rPr>
        <w:t>, respecto del socio comunitario</w:t>
      </w:r>
      <w:r w:rsidR="00851FCB" w:rsidRPr="00F06396">
        <w:rPr>
          <w:rFonts w:cs="Arial"/>
          <w:bCs/>
          <w:sz w:val="22"/>
          <w:szCs w:val="22"/>
        </w:rPr>
        <w:t>.</w:t>
      </w:r>
    </w:p>
    <w:p w14:paraId="1019226D" w14:textId="77777777" w:rsidR="00851FCB" w:rsidRPr="00F06396" w:rsidRDefault="00851FCB" w:rsidP="00851FCB">
      <w:pPr>
        <w:pStyle w:val="Prrafodelista"/>
        <w:rPr>
          <w:rFonts w:cs="Arial"/>
          <w:sz w:val="22"/>
          <w:szCs w:val="22"/>
        </w:rPr>
      </w:pPr>
    </w:p>
    <w:p w14:paraId="2F4A7548" w14:textId="77777777" w:rsidR="00230166" w:rsidRPr="00F06396" w:rsidRDefault="00851FCB" w:rsidP="000764C6">
      <w:pPr>
        <w:pStyle w:val="Prrafodelista"/>
        <w:widowControl/>
        <w:adjustRightInd/>
        <w:spacing w:line="240" w:lineRule="auto"/>
        <w:ind w:left="-12"/>
        <w:textAlignment w:val="auto"/>
        <w:rPr>
          <w:rFonts w:cs="Arial"/>
          <w:bCs/>
          <w:i/>
          <w:sz w:val="22"/>
          <w:szCs w:val="22"/>
          <w:lang w:val="es-PE"/>
        </w:rPr>
      </w:pPr>
      <w:r w:rsidRPr="00F06396">
        <w:rPr>
          <w:rFonts w:cs="Arial"/>
          <w:i/>
          <w:sz w:val="22"/>
          <w:szCs w:val="22"/>
        </w:rPr>
        <w:t>Nota: E</w:t>
      </w:r>
      <w:r w:rsidR="00230166" w:rsidRPr="00F06396">
        <w:rPr>
          <w:rFonts w:cs="Arial"/>
          <w:i/>
          <w:sz w:val="22"/>
          <w:szCs w:val="22"/>
        </w:rPr>
        <w:t>n el proceso 32-AI-2001 [GOAC 760- 2002], el Tribunal ha señalado</w:t>
      </w:r>
      <w:r w:rsidR="000764C6" w:rsidRPr="00F06396">
        <w:rPr>
          <w:rFonts w:cs="Arial"/>
          <w:i/>
          <w:sz w:val="22"/>
          <w:szCs w:val="22"/>
        </w:rPr>
        <w:t xml:space="preserve"> que </w:t>
      </w:r>
      <w:r w:rsidR="00230166" w:rsidRPr="00F06396">
        <w:rPr>
          <w:rFonts w:cs="Arial"/>
          <w:bCs/>
          <w:i/>
          <w:sz w:val="22"/>
          <w:szCs w:val="22"/>
          <w:lang w:val="es-PE"/>
        </w:rPr>
        <w:t>“La cláusula de más favor es pues un mecanismo incorporado al Acuerdo de Cartagena desde la fecha misma de su suscripción, cuyo efecto es el de establecer un trato igualitario, automáticamente ajustable para hacerse equivalente a cualquier ventaja o privilegio que un País Miembro reconozca o conceda a un tercero, para restablecer, de esa manera, la igualdad de trato respecto de los Socios Comunitarios. (…)</w:t>
      </w:r>
      <w:r w:rsidRPr="00F06396">
        <w:rPr>
          <w:rFonts w:cs="Arial"/>
          <w:bCs/>
          <w:i/>
          <w:sz w:val="22"/>
          <w:szCs w:val="22"/>
          <w:lang w:val="es-PE"/>
        </w:rPr>
        <w:t>”</w:t>
      </w:r>
    </w:p>
    <w:p w14:paraId="56822226" w14:textId="77777777" w:rsidR="00230166" w:rsidRPr="00F06396" w:rsidRDefault="00230166" w:rsidP="00230166">
      <w:pPr>
        <w:spacing w:line="240" w:lineRule="auto"/>
        <w:rPr>
          <w:rFonts w:cs="Arial"/>
          <w:bCs/>
          <w:i/>
          <w:iCs/>
          <w:sz w:val="22"/>
          <w:szCs w:val="22"/>
          <w:lang w:val="es-PE"/>
        </w:rPr>
      </w:pPr>
    </w:p>
    <w:p w14:paraId="5964E139" w14:textId="77777777" w:rsidR="00892EFC" w:rsidRPr="00F06396" w:rsidRDefault="00247418" w:rsidP="00892EFC">
      <w:pPr>
        <w:pStyle w:val="Prrafodelista"/>
        <w:widowControl/>
        <w:numPr>
          <w:ilvl w:val="0"/>
          <w:numId w:val="35"/>
        </w:numPr>
        <w:adjustRightInd/>
        <w:spacing w:line="240" w:lineRule="auto"/>
        <w:ind w:left="-12" w:hanging="357"/>
        <w:textAlignment w:val="auto"/>
        <w:rPr>
          <w:rFonts w:cs="Arial"/>
          <w:bCs/>
          <w:sz w:val="22"/>
          <w:szCs w:val="22"/>
        </w:rPr>
      </w:pPr>
      <w:r w:rsidRPr="00F06396">
        <w:rPr>
          <w:rFonts w:cs="Arial"/>
          <w:bCs/>
          <w:sz w:val="22"/>
          <w:szCs w:val="22"/>
        </w:rPr>
        <w:lastRenderedPageBreak/>
        <w:t xml:space="preserve">Es preciso señalar que </w:t>
      </w:r>
      <w:r w:rsidR="000764C6" w:rsidRPr="00F06396">
        <w:rPr>
          <w:rFonts w:cs="Arial"/>
          <w:bCs/>
          <w:sz w:val="22"/>
          <w:szCs w:val="22"/>
        </w:rPr>
        <w:t>la</w:t>
      </w:r>
      <w:r w:rsidR="00851FCB" w:rsidRPr="00F06396">
        <w:rPr>
          <w:rFonts w:cs="Arial"/>
          <w:bCs/>
          <w:sz w:val="22"/>
          <w:szCs w:val="22"/>
        </w:rPr>
        <w:t xml:space="preserve"> exigencia</w:t>
      </w:r>
      <w:r w:rsidR="000764C6" w:rsidRPr="00F06396">
        <w:rPr>
          <w:rFonts w:cs="Arial"/>
          <w:bCs/>
          <w:sz w:val="22"/>
          <w:szCs w:val="22"/>
        </w:rPr>
        <w:t xml:space="preserve"> </w:t>
      </w:r>
      <w:r w:rsidRPr="00F06396">
        <w:rPr>
          <w:rFonts w:cs="Arial"/>
          <w:bCs/>
          <w:sz w:val="22"/>
          <w:szCs w:val="22"/>
        </w:rPr>
        <w:t>objeto de análisis no</w:t>
      </w:r>
      <w:r w:rsidR="000764C6" w:rsidRPr="00F06396">
        <w:rPr>
          <w:rFonts w:cs="Arial"/>
          <w:bCs/>
          <w:sz w:val="22"/>
          <w:szCs w:val="22"/>
        </w:rPr>
        <w:t xml:space="preserve"> </w:t>
      </w:r>
      <w:r w:rsidR="00851FCB" w:rsidRPr="00F06396">
        <w:rPr>
          <w:rFonts w:cs="Arial"/>
          <w:bCs/>
          <w:sz w:val="22"/>
          <w:szCs w:val="22"/>
        </w:rPr>
        <w:t xml:space="preserve">obstaculiza la inmediatez y automaticidad de </w:t>
      </w:r>
      <w:r w:rsidR="007F6B51" w:rsidRPr="00F06396">
        <w:rPr>
          <w:rFonts w:cs="Arial"/>
          <w:bCs/>
          <w:sz w:val="22"/>
          <w:szCs w:val="22"/>
        </w:rPr>
        <w:t>la aplicación del artículo 139 del Acuerdo de Cartagena</w:t>
      </w:r>
      <w:r w:rsidR="000764C6" w:rsidRPr="00F06396">
        <w:rPr>
          <w:rFonts w:cs="Arial"/>
          <w:bCs/>
          <w:sz w:val="22"/>
          <w:szCs w:val="22"/>
        </w:rPr>
        <w:t>, ya que</w:t>
      </w:r>
      <w:r w:rsidR="007F6B51" w:rsidRPr="00F06396">
        <w:rPr>
          <w:rFonts w:cs="Arial"/>
          <w:bCs/>
          <w:sz w:val="22"/>
          <w:szCs w:val="22"/>
        </w:rPr>
        <w:t xml:space="preserve"> se trata de una condición de llenado del certificado de origen y no de aplicación de dicho artículo. Resulta claro que la aplicación del principio de nación más favorecida requiere de la previa identificación clara y correcta de la preferencia aplicable por parte del interesado y que dicha preferencia sea informada </w:t>
      </w:r>
      <w:r w:rsidRPr="00F06396">
        <w:rPr>
          <w:rFonts w:cs="Arial"/>
          <w:bCs/>
          <w:sz w:val="22"/>
          <w:szCs w:val="22"/>
        </w:rPr>
        <w:t>a la autoridad aduanera</w:t>
      </w:r>
      <w:r w:rsidR="000764C6" w:rsidRPr="00F06396">
        <w:rPr>
          <w:rFonts w:cs="Arial"/>
          <w:bCs/>
          <w:sz w:val="22"/>
          <w:szCs w:val="22"/>
        </w:rPr>
        <w:t xml:space="preserve">, de tal suerte que </w:t>
      </w:r>
      <w:r w:rsidRPr="00F06396">
        <w:rPr>
          <w:rFonts w:cs="Arial"/>
          <w:bCs/>
          <w:sz w:val="22"/>
          <w:szCs w:val="22"/>
        </w:rPr>
        <w:t xml:space="preserve">ésta </w:t>
      </w:r>
      <w:r w:rsidR="007F6B51" w:rsidRPr="00F06396">
        <w:rPr>
          <w:rFonts w:cs="Arial"/>
          <w:bCs/>
          <w:sz w:val="22"/>
          <w:szCs w:val="22"/>
        </w:rPr>
        <w:t xml:space="preserve">quede en capacidad de aplicarla, a partir de allí, de </w:t>
      </w:r>
      <w:r w:rsidRPr="00F06396">
        <w:rPr>
          <w:rFonts w:cs="Arial"/>
          <w:bCs/>
          <w:sz w:val="22"/>
          <w:szCs w:val="22"/>
        </w:rPr>
        <w:t>manera inmediata e incondicional</w:t>
      </w:r>
      <w:r w:rsidR="000764C6" w:rsidRPr="00F06396">
        <w:rPr>
          <w:rFonts w:cs="Arial"/>
          <w:bCs/>
          <w:sz w:val="22"/>
          <w:szCs w:val="22"/>
        </w:rPr>
        <w:t xml:space="preserve">, tal como lo dispone el </w:t>
      </w:r>
      <w:r w:rsidR="007F6B51" w:rsidRPr="00F06396">
        <w:rPr>
          <w:rFonts w:cs="Arial"/>
          <w:bCs/>
          <w:sz w:val="22"/>
          <w:szCs w:val="22"/>
        </w:rPr>
        <w:t>Acuerdo</w:t>
      </w:r>
      <w:r w:rsidR="000764C6" w:rsidRPr="00F06396">
        <w:rPr>
          <w:rFonts w:cs="Arial"/>
          <w:bCs/>
          <w:sz w:val="22"/>
          <w:szCs w:val="22"/>
        </w:rPr>
        <w:t>.</w:t>
      </w:r>
    </w:p>
    <w:p w14:paraId="0E21243F" w14:textId="77777777" w:rsidR="007F6B51" w:rsidRPr="00F06396" w:rsidRDefault="007F6B51" w:rsidP="007F6B51">
      <w:pPr>
        <w:widowControl/>
        <w:adjustRightInd/>
        <w:spacing w:line="240" w:lineRule="auto"/>
        <w:textAlignment w:val="auto"/>
        <w:rPr>
          <w:rFonts w:cs="Arial"/>
          <w:bCs/>
          <w:sz w:val="22"/>
          <w:szCs w:val="22"/>
        </w:rPr>
      </w:pPr>
    </w:p>
    <w:p w14:paraId="287844E1" w14:textId="77777777" w:rsidR="007F6B51" w:rsidRPr="00F06396" w:rsidRDefault="007F32D9" w:rsidP="007F32D9">
      <w:pPr>
        <w:pStyle w:val="Prrafodelista"/>
        <w:widowControl/>
        <w:numPr>
          <w:ilvl w:val="0"/>
          <w:numId w:val="35"/>
        </w:numPr>
        <w:adjustRightInd/>
        <w:spacing w:line="240" w:lineRule="auto"/>
        <w:ind w:left="-12" w:hanging="357"/>
        <w:textAlignment w:val="auto"/>
        <w:rPr>
          <w:rFonts w:cs="Arial"/>
          <w:bCs/>
          <w:sz w:val="22"/>
          <w:szCs w:val="22"/>
        </w:rPr>
      </w:pPr>
      <w:r w:rsidRPr="00F06396">
        <w:rPr>
          <w:rFonts w:cs="Arial"/>
          <w:bCs/>
          <w:sz w:val="22"/>
          <w:szCs w:val="22"/>
        </w:rPr>
        <w:t>E</w:t>
      </w:r>
      <w:r w:rsidR="007F6B51" w:rsidRPr="00F06396">
        <w:rPr>
          <w:rFonts w:cs="Arial"/>
          <w:bCs/>
          <w:sz w:val="22"/>
          <w:szCs w:val="22"/>
        </w:rPr>
        <w:t>l hecho de que la información relativa al acuerdo preferente deba consignarse primariamente en la Declaración Única de Aduana no impide que se consigne asimismo en el certificado de origen</w:t>
      </w:r>
      <w:r w:rsidRPr="00F06396">
        <w:rPr>
          <w:rFonts w:cs="Arial"/>
          <w:bCs/>
          <w:sz w:val="22"/>
          <w:szCs w:val="22"/>
        </w:rPr>
        <w:t xml:space="preserve"> dado que no lo desnaturaliza y antes bien es información que coadyuva a su mejor aplicación.</w:t>
      </w:r>
    </w:p>
    <w:p w14:paraId="28F723DC" w14:textId="77777777" w:rsidR="00892EFC" w:rsidRPr="00F06396" w:rsidRDefault="00892EFC" w:rsidP="00892EFC">
      <w:pPr>
        <w:pStyle w:val="Prrafodelista"/>
        <w:widowControl/>
        <w:adjustRightInd/>
        <w:spacing w:line="240" w:lineRule="auto"/>
        <w:ind w:left="-12"/>
        <w:textAlignment w:val="auto"/>
        <w:rPr>
          <w:rFonts w:cs="Arial"/>
          <w:bCs/>
          <w:sz w:val="22"/>
          <w:szCs w:val="22"/>
        </w:rPr>
      </w:pPr>
    </w:p>
    <w:p w14:paraId="2C278AA3" w14:textId="77777777" w:rsidR="00892EFC" w:rsidRPr="00F06396" w:rsidRDefault="00892EFC" w:rsidP="00892EFC">
      <w:pPr>
        <w:pStyle w:val="Prrafodelista"/>
        <w:widowControl/>
        <w:adjustRightInd/>
        <w:spacing w:line="240" w:lineRule="auto"/>
        <w:ind w:left="-12"/>
        <w:textAlignment w:val="auto"/>
        <w:rPr>
          <w:rFonts w:cs="Arial"/>
          <w:bCs/>
          <w:sz w:val="22"/>
          <w:szCs w:val="22"/>
        </w:rPr>
      </w:pPr>
      <w:r w:rsidRPr="00F06396">
        <w:rPr>
          <w:rFonts w:cs="Arial"/>
          <w:bCs/>
          <w:i/>
          <w:iCs/>
          <w:sz w:val="22"/>
          <w:szCs w:val="22"/>
          <w:lang w:val="es-PE"/>
        </w:rPr>
        <w:t>Nota: en el mismo Proceso el Tribunal ha señalado que “(…) Las características fundamentales de esta figura convertida en ley para los Países Andinos, son aquellas de ser inmediatamente aplicada cuando se constituye la ventaja a favor de un tercero, también en beneficio de los demás Países Miembros; que esa extensión dispuesta como consagración del principio de equidad, debe ser incondicional y consecuentemente, no sujeta a compensaciones de clase alguna, menos aún sometida a exigencias de reciprocidad.</w:t>
      </w:r>
      <w:r w:rsidRPr="00F06396">
        <w:rPr>
          <w:rFonts w:cs="Arial"/>
          <w:bCs/>
          <w:sz w:val="22"/>
          <w:szCs w:val="22"/>
          <w:lang w:val="es-PE"/>
        </w:rPr>
        <w:t xml:space="preserve">” </w:t>
      </w:r>
    </w:p>
    <w:p w14:paraId="03FE4F48" w14:textId="77777777" w:rsidR="000764C6" w:rsidRPr="00F06396" w:rsidRDefault="000764C6" w:rsidP="000764C6">
      <w:pPr>
        <w:pStyle w:val="Prrafodelista"/>
        <w:widowControl/>
        <w:adjustRightInd/>
        <w:spacing w:line="240" w:lineRule="auto"/>
        <w:ind w:left="-12"/>
        <w:textAlignment w:val="auto"/>
        <w:rPr>
          <w:rFonts w:cs="Arial"/>
          <w:bCs/>
          <w:sz w:val="22"/>
          <w:szCs w:val="22"/>
        </w:rPr>
      </w:pPr>
    </w:p>
    <w:p w14:paraId="4E343C3F" w14:textId="77777777" w:rsidR="00D67EA1" w:rsidRPr="00F06396" w:rsidRDefault="00D67EA1" w:rsidP="00D67EA1">
      <w:pPr>
        <w:pStyle w:val="Prrafodelista"/>
        <w:widowControl/>
        <w:numPr>
          <w:ilvl w:val="0"/>
          <w:numId w:val="35"/>
        </w:numPr>
        <w:adjustRightInd/>
        <w:spacing w:line="240" w:lineRule="auto"/>
        <w:ind w:left="-12" w:hanging="357"/>
        <w:textAlignment w:val="auto"/>
        <w:rPr>
          <w:rFonts w:cs="Arial"/>
          <w:bCs/>
          <w:sz w:val="22"/>
          <w:szCs w:val="22"/>
        </w:rPr>
      </w:pPr>
      <w:r w:rsidRPr="00F06396">
        <w:rPr>
          <w:rFonts w:cs="Arial"/>
          <w:bCs/>
          <w:sz w:val="22"/>
          <w:szCs w:val="22"/>
        </w:rPr>
        <w:t>Las reclamantes alegan que la Decisión 416 no contempla disposición alguna que exija que en los casos de enmienda de certificados de origen deba procederse con la indicación del acuerdo en el rubro de observaciones. Se estima al respecto que habi</w:t>
      </w:r>
      <w:r w:rsidR="00EF49CD" w:rsidRPr="00F06396">
        <w:rPr>
          <w:rFonts w:cs="Arial"/>
          <w:bCs/>
          <w:sz w:val="22"/>
          <w:szCs w:val="22"/>
        </w:rPr>
        <w:t>é</w:t>
      </w:r>
      <w:r w:rsidRPr="00F06396">
        <w:rPr>
          <w:rFonts w:cs="Arial"/>
          <w:bCs/>
          <w:sz w:val="22"/>
          <w:szCs w:val="22"/>
        </w:rPr>
        <w:t>ndose encontrado procedente la exigencia de indicar la preferencia en el rubro de observaciones del certificado de origen primigenio, el que la misma exigencia se haga extensiva a la enmienda también es viable</w:t>
      </w:r>
      <w:r w:rsidR="00EF49CD" w:rsidRPr="00F06396">
        <w:rPr>
          <w:rFonts w:cs="Arial"/>
          <w:bCs/>
          <w:sz w:val="22"/>
          <w:szCs w:val="22"/>
        </w:rPr>
        <w:t xml:space="preserve"> por cuento </w:t>
      </w:r>
      <w:r w:rsidRPr="00F06396">
        <w:rPr>
          <w:rFonts w:cs="Arial"/>
          <w:bCs/>
          <w:sz w:val="22"/>
          <w:szCs w:val="22"/>
        </w:rPr>
        <w:t>no implica un cambio en el criterio de la calificación del origen y antes bien asegura una aplicación más efectiva del artículo 139 del Acuerdo</w:t>
      </w:r>
      <w:r w:rsidR="00EF49CD" w:rsidRPr="00F06396">
        <w:rPr>
          <w:rFonts w:cs="Arial"/>
          <w:bCs/>
          <w:sz w:val="22"/>
          <w:szCs w:val="22"/>
        </w:rPr>
        <w:t>.</w:t>
      </w:r>
      <w:r w:rsidR="007F32D9" w:rsidRPr="00F06396">
        <w:rPr>
          <w:rFonts w:cs="Arial"/>
          <w:bCs/>
          <w:sz w:val="22"/>
          <w:szCs w:val="22"/>
        </w:rPr>
        <w:t xml:space="preserve"> Es asimismo procedente recordar en este punto que de acuerdo a lo que según </w:t>
      </w:r>
      <w:r w:rsidRPr="00F06396">
        <w:rPr>
          <w:rFonts w:cs="Arial"/>
          <w:bCs/>
          <w:sz w:val="22"/>
          <w:szCs w:val="22"/>
        </w:rPr>
        <w:t>lo ha reconocido el Tribunal de Justicia en el Proceso N° 194-IP-2013</w:t>
      </w:r>
      <w:r w:rsidR="007F32D9" w:rsidRPr="00F06396">
        <w:rPr>
          <w:rFonts w:cs="Arial"/>
          <w:bCs/>
          <w:sz w:val="22"/>
          <w:szCs w:val="22"/>
        </w:rPr>
        <w:t xml:space="preserve"> l, el procedimiento y la forma para solicitar la modificación son cuestiones que corresponden al ámbito nacional</w:t>
      </w:r>
      <w:r w:rsidRPr="00F06396">
        <w:rPr>
          <w:rFonts w:cs="Arial"/>
          <w:bCs/>
          <w:sz w:val="22"/>
          <w:szCs w:val="22"/>
        </w:rPr>
        <w:t>:</w:t>
      </w:r>
    </w:p>
    <w:p w14:paraId="44F8147A" w14:textId="77777777" w:rsidR="00D67EA1" w:rsidRPr="00F06396" w:rsidRDefault="00D67EA1" w:rsidP="00D67EA1">
      <w:pPr>
        <w:pStyle w:val="Prrafodelista"/>
        <w:spacing w:line="240" w:lineRule="auto"/>
        <w:rPr>
          <w:rFonts w:cs="Arial"/>
          <w:bCs/>
          <w:sz w:val="22"/>
          <w:szCs w:val="22"/>
        </w:rPr>
      </w:pPr>
    </w:p>
    <w:p w14:paraId="7C36731E" w14:textId="77777777" w:rsidR="00D67EA1" w:rsidRPr="00F06396" w:rsidRDefault="00D67EA1" w:rsidP="00D67EA1">
      <w:pPr>
        <w:pStyle w:val="Prrafodelista"/>
        <w:widowControl/>
        <w:adjustRightInd/>
        <w:spacing w:line="240" w:lineRule="auto"/>
        <w:ind w:left="0"/>
        <w:textAlignment w:val="auto"/>
        <w:rPr>
          <w:rFonts w:cs="Arial"/>
          <w:i/>
          <w:sz w:val="22"/>
          <w:szCs w:val="22"/>
        </w:rPr>
      </w:pPr>
      <w:r w:rsidRPr="00F06396">
        <w:rPr>
          <w:rFonts w:cs="Arial"/>
          <w:i/>
          <w:sz w:val="22"/>
          <w:szCs w:val="22"/>
        </w:rPr>
        <w:t>“Así, este Tribunal considera viable que las autoridades gubernamentales competentes o las entidades habilitadas para tal efecto en el País Miembro exportador modifiquen, a solicitud de la parte interesada, un certificado de origen válidamente emitido, siempre y cuando dicha modificación no implique un cambio en el criterio de calificación del origen. También advierte que, como la norma comunitaria no regula la forma de solicitar y de tramitar la solicitud de modificación, se aplicará la normativa nacional respectiva del País Miembro exportador, de conformidad con el principio del complemento indispensable (…).”</w:t>
      </w:r>
    </w:p>
    <w:p w14:paraId="4FEB4E31" w14:textId="77777777" w:rsidR="00D67EA1" w:rsidRPr="00F06396" w:rsidRDefault="00D67EA1" w:rsidP="000764C6">
      <w:pPr>
        <w:pStyle w:val="Prrafodelista"/>
        <w:widowControl/>
        <w:adjustRightInd/>
        <w:spacing w:line="240" w:lineRule="auto"/>
        <w:ind w:left="-12"/>
        <w:textAlignment w:val="auto"/>
        <w:rPr>
          <w:rFonts w:cs="Arial"/>
          <w:bCs/>
          <w:sz w:val="22"/>
          <w:szCs w:val="22"/>
        </w:rPr>
      </w:pPr>
    </w:p>
    <w:p w14:paraId="1123973A" w14:textId="77777777" w:rsidR="007F32D9" w:rsidRPr="00F06396" w:rsidRDefault="003F14B4" w:rsidP="000764C6">
      <w:pPr>
        <w:pStyle w:val="Prrafodelista"/>
        <w:widowControl/>
        <w:adjustRightInd/>
        <w:spacing w:line="240" w:lineRule="auto"/>
        <w:ind w:left="-12"/>
        <w:textAlignment w:val="auto"/>
        <w:rPr>
          <w:rFonts w:cs="Arial"/>
          <w:b/>
          <w:bCs/>
          <w:sz w:val="22"/>
          <w:szCs w:val="22"/>
        </w:rPr>
      </w:pPr>
      <w:r w:rsidRPr="00F06396">
        <w:rPr>
          <w:rFonts w:cs="Arial"/>
          <w:b/>
          <w:bCs/>
          <w:sz w:val="22"/>
          <w:szCs w:val="22"/>
        </w:rPr>
        <w:t>Otros</w:t>
      </w:r>
      <w:r w:rsidR="007F32D9" w:rsidRPr="00F06396">
        <w:rPr>
          <w:rFonts w:cs="Arial"/>
          <w:b/>
          <w:bCs/>
          <w:sz w:val="22"/>
          <w:szCs w:val="22"/>
        </w:rPr>
        <w:t>:</w:t>
      </w:r>
    </w:p>
    <w:p w14:paraId="1D6D555A" w14:textId="77777777" w:rsidR="007F32D9" w:rsidRPr="00F06396" w:rsidRDefault="007F32D9" w:rsidP="000764C6">
      <w:pPr>
        <w:pStyle w:val="Prrafodelista"/>
        <w:widowControl/>
        <w:adjustRightInd/>
        <w:spacing w:line="240" w:lineRule="auto"/>
        <w:ind w:left="-12"/>
        <w:textAlignment w:val="auto"/>
        <w:rPr>
          <w:rFonts w:cs="Arial"/>
          <w:bCs/>
          <w:sz w:val="22"/>
          <w:szCs w:val="22"/>
        </w:rPr>
      </w:pPr>
    </w:p>
    <w:p w14:paraId="067029E7" w14:textId="77777777" w:rsidR="00A303D2" w:rsidRPr="00F06396" w:rsidRDefault="003F14B4" w:rsidP="004200DD">
      <w:pPr>
        <w:pStyle w:val="Prrafodelista"/>
        <w:widowControl/>
        <w:numPr>
          <w:ilvl w:val="0"/>
          <w:numId w:val="35"/>
        </w:numPr>
        <w:adjustRightInd/>
        <w:spacing w:line="240" w:lineRule="auto"/>
        <w:ind w:left="-12" w:hanging="357"/>
        <w:textAlignment w:val="auto"/>
        <w:rPr>
          <w:rFonts w:cs="Arial"/>
          <w:bCs/>
          <w:i/>
          <w:sz w:val="22"/>
          <w:szCs w:val="22"/>
        </w:rPr>
      </w:pPr>
      <w:r w:rsidRPr="00F06396">
        <w:rPr>
          <w:rFonts w:cs="Arial"/>
          <w:bCs/>
          <w:sz w:val="22"/>
          <w:szCs w:val="22"/>
        </w:rPr>
        <w:t xml:space="preserve">a) Embotelladora Rivera manifiesta en su escrito complementario que el ARAM 1 constituye un acuerdo bilateral al cual le es aplicable el artículo 2 de la Decisión 414 por lo que </w:t>
      </w:r>
      <w:r w:rsidRPr="00F06396">
        <w:rPr>
          <w:rFonts w:cs="Arial"/>
          <w:b/>
          <w:bCs/>
          <w:i/>
          <w:sz w:val="22"/>
          <w:szCs w:val="22"/>
          <w:u w:val="single"/>
        </w:rPr>
        <w:t>“Desconocer dicha situación constituye un incumplimiento del ordenamiento jurídico andino”</w:t>
      </w:r>
      <w:r w:rsidRPr="00F06396">
        <w:rPr>
          <w:rFonts w:cs="Arial"/>
          <w:bCs/>
          <w:i/>
          <w:sz w:val="22"/>
          <w:szCs w:val="22"/>
        </w:rPr>
        <w:t>.</w:t>
      </w:r>
    </w:p>
    <w:p w14:paraId="18042BFB" w14:textId="77777777" w:rsidR="00A303D2" w:rsidRPr="00F06396" w:rsidRDefault="00A303D2" w:rsidP="00A303D2">
      <w:pPr>
        <w:pStyle w:val="Prrafodelista"/>
        <w:widowControl/>
        <w:adjustRightInd/>
        <w:spacing w:line="240" w:lineRule="auto"/>
        <w:ind w:left="567"/>
        <w:textAlignment w:val="auto"/>
        <w:rPr>
          <w:rFonts w:cs="Arial"/>
          <w:bCs/>
          <w:i/>
          <w:sz w:val="22"/>
          <w:szCs w:val="22"/>
        </w:rPr>
      </w:pPr>
    </w:p>
    <w:p w14:paraId="73180456" w14:textId="77777777" w:rsidR="003F14B4" w:rsidRPr="00F06396" w:rsidRDefault="00A303D2" w:rsidP="004200DD">
      <w:pPr>
        <w:pStyle w:val="Prrafodelista"/>
        <w:widowControl/>
        <w:numPr>
          <w:ilvl w:val="0"/>
          <w:numId w:val="35"/>
        </w:numPr>
        <w:adjustRightInd/>
        <w:spacing w:line="240" w:lineRule="auto"/>
        <w:ind w:left="-12" w:hanging="357"/>
        <w:textAlignment w:val="auto"/>
        <w:rPr>
          <w:rFonts w:cs="Arial"/>
          <w:bCs/>
          <w:sz w:val="22"/>
          <w:szCs w:val="22"/>
        </w:rPr>
      </w:pPr>
      <w:r w:rsidRPr="00F06396">
        <w:rPr>
          <w:rFonts w:cs="Arial"/>
          <w:bCs/>
          <w:sz w:val="22"/>
          <w:szCs w:val="22"/>
        </w:rPr>
        <w:t>Al respecto cabe señalar que t</w:t>
      </w:r>
      <w:r w:rsidR="003F14B4" w:rsidRPr="00F06396">
        <w:rPr>
          <w:rFonts w:cs="Arial"/>
          <w:bCs/>
          <w:sz w:val="22"/>
          <w:szCs w:val="22"/>
        </w:rPr>
        <w:t xml:space="preserve">al aseveración constituye un nuevo cargo de reclamación no consignado en el escrito primigenio ni </w:t>
      </w:r>
      <w:r w:rsidRPr="00F06396">
        <w:rPr>
          <w:rFonts w:cs="Arial"/>
          <w:bCs/>
          <w:sz w:val="22"/>
          <w:szCs w:val="22"/>
        </w:rPr>
        <w:t xml:space="preserve">identificado </w:t>
      </w:r>
      <w:r w:rsidR="003F14B4" w:rsidRPr="00F06396">
        <w:rPr>
          <w:rFonts w:cs="Arial"/>
          <w:bCs/>
          <w:sz w:val="22"/>
          <w:szCs w:val="22"/>
        </w:rPr>
        <w:t xml:space="preserve">en el auto </w:t>
      </w:r>
      <w:proofErr w:type="spellStart"/>
      <w:r w:rsidR="003F14B4" w:rsidRPr="00F06396">
        <w:rPr>
          <w:rFonts w:cs="Arial"/>
          <w:bCs/>
          <w:sz w:val="22"/>
          <w:szCs w:val="22"/>
        </w:rPr>
        <w:t>admisorio</w:t>
      </w:r>
      <w:proofErr w:type="spellEnd"/>
      <w:r w:rsidR="003F14B4" w:rsidRPr="00F06396">
        <w:rPr>
          <w:rFonts w:cs="Arial"/>
          <w:bCs/>
          <w:sz w:val="22"/>
          <w:szCs w:val="22"/>
        </w:rPr>
        <w:t xml:space="preserve"> de la presente causa</w:t>
      </w:r>
      <w:r w:rsidRPr="00F06396">
        <w:rPr>
          <w:rFonts w:cs="Arial"/>
          <w:bCs/>
          <w:sz w:val="22"/>
          <w:szCs w:val="22"/>
        </w:rPr>
        <w:t xml:space="preserve"> que no fue rectificado por la parte en su oportunidad</w:t>
      </w:r>
      <w:r w:rsidR="003F14B4" w:rsidRPr="00F06396">
        <w:rPr>
          <w:rFonts w:cs="Arial"/>
          <w:bCs/>
          <w:sz w:val="22"/>
          <w:szCs w:val="22"/>
        </w:rPr>
        <w:t>, por lo que</w:t>
      </w:r>
      <w:r w:rsidRPr="00F06396">
        <w:rPr>
          <w:rFonts w:cs="Arial"/>
          <w:bCs/>
          <w:sz w:val="22"/>
          <w:szCs w:val="22"/>
        </w:rPr>
        <w:t xml:space="preserve"> no </w:t>
      </w:r>
      <w:r w:rsidR="003F14B4" w:rsidRPr="00F06396">
        <w:rPr>
          <w:rFonts w:cs="Arial"/>
          <w:bCs/>
          <w:sz w:val="22"/>
          <w:szCs w:val="22"/>
        </w:rPr>
        <w:t>corresponde admi</w:t>
      </w:r>
      <w:r w:rsidRPr="00F06396">
        <w:rPr>
          <w:rFonts w:cs="Arial"/>
          <w:bCs/>
          <w:sz w:val="22"/>
          <w:szCs w:val="22"/>
        </w:rPr>
        <w:t>tirlo en esta etapa</w:t>
      </w:r>
      <w:r w:rsidR="003F14B4" w:rsidRPr="00F06396">
        <w:rPr>
          <w:rFonts w:cs="Arial"/>
          <w:bCs/>
          <w:sz w:val="22"/>
          <w:szCs w:val="22"/>
        </w:rPr>
        <w:t xml:space="preserve"> del proce</w:t>
      </w:r>
      <w:r w:rsidRPr="00F06396">
        <w:rPr>
          <w:rFonts w:cs="Arial"/>
          <w:bCs/>
          <w:sz w:val="22"/>
          <w:szCs w:val="22"/>
        </w:rPr>
        <w:t>dimiento</w:t>
      </w:r>
      <w:r w:rsidR="003F14B4" w:rsidRPr="00F06396">
        <w:rPr>
          <w:rFonts w:cs="Arial"/>
          <w:bCs/>
          <w:sz w:val="22"/>
          <w:szCs w:val="22"/>
        </w:rPr>
        <w:t>. Sin perjuicio de ello</w:t>
      </w:r>
      <w:r w:rsidRPr="00F06396">
        <w:rPr>
          <w:rFonts w:cs="Arial"/>
          <w:bCs/>
          <w:sz w:val="22"/>
          <w:szCs w:val="22"/>
        </w:rPr>
        <w:t>,</w:t>
      </w:r>
      <w:r w:rsidR="003F14B4" w:rsidRPr="00F06396">
        <w:rPr>
          <w:rFonts w:cs="Arial"/>
          <w:bCs/>
          <w:sz w:val="22"/>
          <w:szCs w:val="22"/>
        </w:rPr>
        <w:t xml:space="preserve"> hay que señalar que en el contexto de la Decisión 414 la referencia a los acuerdos bilaterales está dada con </w:t>
      </w:r>
      <w:r w:rsidR="003F14B4" w:rsidRPr="00F06396">
        <w:rPr>
          <w:rFonts w:cs="Arial"/>
          <w:bCs/>
          <w:sz w:val="22"/>
          <w:szCs w:val="22"/>
        </w:rPr>
        <w:lastRenderedPageBreak/>
        <w:t xml:space="preserve">respecto a aquellos acuerdos suscritos entre Perú y los demás países miembros vinculados a la Decisión 321, ámbito al cual no pertenece el ARAM 1. </w:t>
      </w:r>
    </w:p>
    <w:p w14:paraId="7B6B545F" w14:textId="77777777" w:rsidR="003F14B4" w:rsidRPr="00F06396" w:rsidRDefault="003F14B4" w:rsidP="004200DD">
      <w:pPr>
        <w:pStyle w:val="Prrafodelista"/>
        <w:widowControl/>
        <w:adjustRightInd/>
        <w:spacing w:line="240" w:lineRule="auto"/>
        <w:ind w:left="-12"/>
        <w:textAlignment w:val="auto"/>
        <w:rPr>
          <w:rFonts w:cs="Arial"/>
          <w:bCs/>
          <w:sz w:val="22"/>
          <w:szCs w:val="22"/>
        </w:rPr>
      </w:pPr>
    </w:p>
    <w:p w14:paraId="5F90A789" w14:textId="77777777" w:rsidR="00A303D2" w:rsidRPr="00F06396" w:rsidRDefault="00A303D2" w:rsidP="004200DD">
      <w:pPr>
        <w:pStyle w:val="Prrafodelista"/>
        <w:widowControl/>
        <w:numPr>
          <w:ilvl w:val="0"/>
          <w:numId w:val="35"/>
        </w:numPr>
        <w:adjustRightInd/>
        <w:spacing w:line="240" w:lineRule="auto"/>
        <w:ind w:left="-12" w:hanging="357"/>
        <w:textAlignment w:val="auto"/>
        <w:rPr>
          <w:rFonts w:cs="Arial"/>
          <w:bCs/>
          <w:sz w:val="22"/>
          <w:szCs w:val="22"/>
        </w:rPr>
      </w:pPr>
      <w:r w:rsidRPr="00F06396">
        <w:rPr>
          <w:rFonts w:cs="Arial"/>
          <w:bCs/>
          <w:sz w:val="22"/>
          <w:szCs w:val="22"/>
        </w:rPr>
        <w:t xml:space="preserve">b) </w:t>
      </w:r>
      <w:r w:rsidR="007F32D9" w:rsidRPr="00F06396">
        <w:rPr>
          <w:rFonts w:cs="Arial"/>
          <w:bCs/>
          <w:sz w:val="22"/>
          <w:szCs w:val="22"/>
        </w:rPr>
        <w:t xml:space="preserve">Las reclamantes se han referido brevemente en su escrito complementario a la imposibilidad de aplicación del ARAM 1 </w:t>
      </w:r>
      <w:r w:rsidRPr="00F06396">
        <w:rPr>
          <w:rFonts w:cs="Arial"/>
          <w:bCs/>
          <w:sz w:val="22"/>
          <w:szCs w:val="22"/>
        </w:rPr>
        <w:t>a</w:t>
      </w:r>
      <w:r w:rsidR="007F32D9" w:rsidRPr="00F06396">
        <w:rPr>
          <w:rFonts w:cs="Arial"/>
          <w:bCs/>
          <w:sz w:val="22"/>
          <w:szCs w:val="22"/>
        </w:rPr>
        <w:t xml:space="preserve"> la fecha en que se produjo la importación. Aunque no en el escrito principal, este alegato también figura en los escritos de parte que presentaron ante las autoridades tributarias peruanas y que se anexaron a</w:t>
      </w:r>
      <w:r w:rsidRPr="00F06396">
        <w:rPr>
          <w:rFonts w:cs="Arial"/>
          <w:bCs/>
          <w:sz w:val="22"/>
          <w:szCs w:val="22"/>
        </w:rPr>
        <w:t>l señalado escrito principal</w:t>
      </w:r>
      <w:r w:rsidR="007F32D9" w:rsidRPr="00F06396">
        <w:rPr>
          <w:rFonts w:cs="Arial"/>
          <w:bCs/>
          <w:sz w:val="22"/>
          <w:szCs w:val="22"/>
        </w:rPr>
        <w:t>.</w:t>
      </w:r>
    </w:p>
    <w:p w14:paraId="4B7829AE" w14:textId="77777777" w:rsidR="00A303D2" w:rsidRPr="00F06396" w:rsidRDefault="00A303D2" w:rsidP="004200DD">
      <w:pPr>
        <w:pStyle w:val="Prrafodelista"/>
        <w:widowControl/>
        <w:adjustRightInd/>
        <w:spacing w:line="240" w:lineRule="auto"/>
        <w:ind w:left="-12"/>
        <w:textAlignment w:val="auto"/>
        <w:rPr>
          <w:rFonts w:cs="Arial"/>
          <w:bCs/>
          <w:sz w:val="22"/>
          <w:szCs w:val="22"/>
        </w:rPr>
      </w:pPr>
    </w:p>
    <w:p w14:paraId="5BE3DC2A" w14:textId="77777777" w:rsidR="002A2F46" w:rsidRPr="00F06396" w:rsidRDefault="007F32D9" w:rsidP="004200DD">
      <w:pPr>
        <w:pStyle w:val="Prrafodelista"/>
        <w:widowControl/>
        <w:numPr>
          <w:ilvl w:val="0"/>
          <w:numId w:val="35"/>
        </w:numPr>
        <w:adjustRightInd/>
        <w:spacing w:line="240" w:lineRule="auto"/>
        <w:ind w:left="-12" w:hanging="357"/>
        <w:textAlignment w:val="auto"/>
        <w:rPr>
          <w:rFonts w:cs="Arial"/>
          <w:bCs/>
          <w:sz w:val="22"/>
          <w:szCs w:val="22"/>
        </w:rPr>
      </w:pPr>
      <w:r w:rsidRPr="00F06396">
        <w:rPr>
          <w:rFonts w:cs="Arial"/>
          <w:bCs/>
          <w:sz w:val="22"/>
          <w:szCs w:val="22"/>
        </w:rPr>
        <w:t>Así</w:t>
      </w:r>
      <w:r w:rsidR="00A303D2" w:rsidRPr="00F06396">
        <w:rPr>
          <w:rFonts w:cs="Arial"/>
          <w:bCs/>
          <w:sz w:val="22"/>
          <w:szCs w:val="22"/>
        </w:rPr>
        <w:t>, las reclamantes</w:t>
      </w:r>
      <w:r w:rsidRPr="00F06396">
        <w:rPr>
          <w:rFonts w:cs="Arial"/>
          <w:bCs/>
          <w:sz w:val="22"/>
          <w:szCs w:val="22"/>
        </w:rPr>
        <w:t xml:space="preserve"> reconocen que </w:t>
      </w:r>
      <w:r w:rsidR="00A303D2" w:rsidRPr="00F06396">
        <w:rPr>
          <w:rFonts w:cs="Arial"/>
          <w:bCs/>
          <w:sz w:val="22"/>
          <w:szCs w:val="22"/>
        </w:rPr>
        <w:t>en efecto</w:t>
      </w:r>
      <w:r w:rsidRPr="00F06396">
        <w:rPr>
          <w:rFonts w:cs="Arial"/>
          <w:bCs/>
          <w:sz w:val="22"/>
          <w:szCs w:val="22"/>
        </w:rPr>
        <w:t xml:space="preserve"> no consignaron el ARAM 1 como acuerdo preferente en el certificado de origen correspondiente, sino que consignaron al Acuerdo de Cartagena en su lugar</w:t>
      </w:r>
      <w:r w:rsidR="00A303D2" w:rsidRPr="00F06396">
        <w:rPr>
          <w:rFonts w:cs="Arial"/>
          <w:bCs/>
          <w:sz w:val="22"/>
          <w:szCs w:val="22"/>
        </w:rPr>
        <w:t>;</w:t>
      </w:r>
      <w:r w:rsidRPr="00F06396">
        <w:rPr>
          <w:rFonts w:cs="Arial"/>
          <w:bCs/>
          <w:sz w:val="22"/>
          <w:szCs w:val="22"/>
        </w:rPr>
        <w:t xml:space="preserve"> </w:t>
      </w:r>
      <w:r w:rsidR="00A303D2" w:rsidRPr="00F06396">
        <w:rPr>
          <w:rFonts w:cs="Arial"/>
          <w:bCs/>
          <w:sz w:val="22"/>
          <w:szCs w:val="22"/>
        </w:rPr>
        <w:t xml:space="preserve">pero </w:t>
      </w:r>
      <w:r w:rsidRPr="00F06396">
        <w:rPr>
          <w:rFonts w:cs="Arial"/>
          <w:bCs/>
          <w:sz w:val="22"/>
          <w:szCs w:val="22"/>
        </w:rPr>
        <w:t>indican que ello se debió a que la propia autoridad aduanera lo impidió habida cuenta que no reconocía la vigencia del ARAM 1. En la audiencia oral manifest</w:t>
      </w:r>
      <w:r w:rsidR="00A303D2" w:rsidRPr="00F06396">
        <w:rPr>
          <w:rFonts w:cs="Arial"/>
          <w:bCs/>
          <w:sz w:val="22"/>
          <w:szCs w:val="22"/>
        </w:rPr>
        <w:t xml:space="preserve">aron </w:t>
      </w:r>
      <w:r w:rsidR="002A2F46" w:rsidRPr="00F06396">
        <w:rPr>
          <w:rFonts w:cs="Arial"/>
          <w:bCs/>
          <w:sz w:val="22"/>
          <w:szCs w:val="22"/>
        </w:rPr>
        <w:t xml:space="preserve">asimismo </w:t>
      </w:r>
      <w:r w:rsidRPr="00F06396">
        <w:rPr>
          <w:rFonts w:cs="Arial"/>
          <w:bCs/>
          <w:sz w:val="22"/>
          <w:szCs w:val="22"/>
        </w:rPr>
        <w:t xml:space="preserve">que dicha vigencia sólo fue reconocida posteriormente pero que para entonces los certificados de origen ya habían vencido impidiendo su enmienda. Pese a que se le solicitó, las reclamantes no presentaron prueba documental que sustentara </w:t>
      </w:r>
      <w:r w:rsidR="005F5F06" w:rsidRPr="00F06396">
        <w:rPr>
          <w:rFonts w:cs="Arial"/>
          <w:bCs/>
          <w:sz w:val="22"/>
          <w:szCs w:val="22"/>
        </w:rPr>
        <w:t>estos alegatos.</w:t>
      </w:r>
    </w:p>
    <w:p w14:paraId="4F821CEF" w14:textId="77777777" w:rsidR="002A2F46" w:rsidRPr="00F06396" w:rsidRDefault="002A2F46" w:rsidP="004200DD">
      <w:pPr>
        <w:pStyle w:val="Prrafodelista"/>
        <w:widowControl/>
        <w:adjustRightInd/>
        <w:spacing w:line="240" w:lineRule="auto"/>
        <w:ind w:left="-12"/>
        <w:textAlignment w:val="auto"/>
        <w:rPr>
          <w:rFonts w:cs="Arial"/>
          <w:bCs/>
          <w:sz w:val="22"/>
          <w:szCs w:val="22"/>
        </w:rPr>
      </w:pPr>
    </w:p>
    <w:p w14:paraId="4D9CE952" w14:textId="77777777" w:rsidR="007F32D9" w:rsidRPr="00F06396" w:rsidRDefault="00A303D2" w:rsidP="004200DD">
      <w:pPr>
        <w:pStyle w:val="Prrafodelista"/>
        <w:widowControl/>
        <w:numPr>
          <w:ilvl w:val="0"/>
          <w:numId w:val="35"/>
        </w:numPr>
        <w:adjustRightInd/>
        <w:spacing w:line="240" w:lineRule="auto"/>
        <w:ind w:left="-12" w:hanging="357"/>
        <w:textAlignment w:val="auto"/>
        <w:rPr>
          <w:rFonts w:cs="Arial"/>
          <w:bCs/>
          <w:sz w:val="22"/>
          <w:szCs w:val="22"/>
        </w:rPr>
      </w:pPr>
      <w:r w:rsidRPr="00F06396">
        <w:rPr>
          <w:rFonts w:cs="Arial"/>
          <w:bCs/>
          <w:sz w:val="22"/>
          <w:szCs w:val="22"/>
        </w:rPr>
        <w:t xml:space="preserve">Al respecto cabe señalar que </w:t>
      </w:r>
      <w:r w:rsidR="002A2F46" w:rsidRPr="00F06396">
        <w:rPr>
          <w:rFonts w:cs="Arial"/>
          <w:bCs/>
          <w:sz w:val="22"/>
          <w:szCs w:val="22"/>
        </w:rPr>
        <w:t>la circunstancia descrita por las reclamantes</w:t>
      </w:r>
      <w:r w:rsidR="005F5F06" w:rsidRPr="00F06396">
        <w:rPr>
          <w:rFonts w:cs="Arial"/>
          <w:bCs/>
          <w:sz w:val="22"/>
          <w:szCs w:val="22"/>
        </w:rPr>
        <w:t xml:space="preserve"> se correspondería con una</w:t>
      </w:r>
      <w:r w:rsidR="007F32D9" w:rsidRPr="00F06396">
        <w:rPr>
          <w:rFonts w:cs="Arial"/>
          <w:bCs/>
          <w:sz w:val="22"/>
          <w:szCs w:val="22"/>
        </w:rPr>
        <w:t xml:space="preserve"> </w:t>
      </w:r>
      <w:r w:rsidR="002A2F46" w:rsidRPr="00F06396">
        <w:rPr>
          <w:rFonts w:cs="Arial"/>
          <w:bCs/>
          <w:sz w:val="22"/>
          <w:szCs w:val="22"/>
        </w:rPr>
        <w:t xml:space="preserve">de </w:t>
      </w:r>
      <w:r w:rsidRPr="00F06396">
        <w:rPr>
          <w:rFonts w:cs="Arial"/>
          <w:bCs/>
          <w:sz w:val="22"/>
          <w:szCs w:val="22"/>
        </w:rPr>
        <w:t>eventual</w:t>
      </w:r>
      <w:r w:rsidR="007F32D9" w:rsidRPr="00F06396">
        <w:rPr>
          <w:rFonts w:cs="Arial"/>
          <w:bCs/>
          <w:sz w:val="22"/>
          <w:szCs w:val="22"/>
        </w:rPr>
        <w:t xml:space="preserve"> imposibilidad material de cumplimiento por acto de la propia autoridad administrativa</w:t>
      </w:r>
      <w:r w:rsidR="002A2F46" w:rsidRPr="00F06396">
        <w:rPr>
          <w:rFonts w:cs="Arial"/>
          <w:bCs/>
          <w:sz w:val="22"/>
          <w:szCs w:val="22"/>
        </w:rPr>
        <w:t>. Esta es una</w:t>
      </w:r>
      <w:r w:rsidR="005F5F06" w:rsidRPr="00F06396">
        <w:rPr>
          <w:rFonts w:cs="Arial"/>
          <w:bCs/>
          <w:sz w:val="22"/>
          <w:szCs w:val="22"/>
        </w:rPr>
        <w:t xml:space="preserve"> cuestión que corresponde </w:t>
      </w:r>
      <w:r w:rsidR="002A2F46" w:rsidRPr="00F06396">
        <w:rPr>
          <w:rFonts w:cs="Arial"/>
          <w:bCs/>
          <w:sz w:val="22"/>
          <w:szCs w:val="22"/>
        </w:rPr>
        <w:t>a</w:t>
      </w:r>
      <w:r w:rsidR="005F5F06" w:rsidRPr="00F06396">
        <w:rPr>
          <w:rFonts w:cs="Arial"/>
          <w:bCs/>
          <w:sz w:val="22"/>
          <w:szCs w:val="22"/>
        </w:rPr>
        <w:t>l</w:t>
      </w:r>
      <w:r w:rsidRPr="00F06396">
        <w:rPr>
          <w:rFonts w:cs="Arial"/>
          <w:bCs/>
          <w:sz w:val="22"/>
          <w:szCs w:val="22"/>
        </w:rPr>
        <w:t xml:space="preserve"> deslinde de responsabilidades en el</w:t>
      </w:r>
      <w:r w:rsidR="005F5F06" w:rsidRPr="00F06396">
        <w:rPr>
          <w:rFonts w:cs="Arial"/>
          <w:bCs/>
          <w:sz w:val="22"/>
          <w:szCs w:val="22"/>
        </w:rPr>
        <w:t xml:space="preserve"> ámbito del derecho interno </w:t>
      </w:r>
      <w:r w:rsidR="007F32D9" w:rsidRPr="00F06396">
        <w:rPr>
          <w:rFonts w:cs="Arial"/>
          <w:bCs/>
          <w:sz w:val="22"/>
          <w:szCs w:val="22"/>
        </w:rPr>
        <w:t>del país miembro concernido</w:t>
      </w:r>
      <w:r w:rsidR="002A2F46" w:rsidRPr="00F06396">
        <w:rPr>
          <w:rFonts w:cs="Arial"/>
          <w:bCs/>
          <w:sz w:val="22"/>
          <w:szCs w:val="22"/>
        </w:rPr>
        <w:t>, por lo que desde la perspectiva comunitaria debe reiterarse</w:t>
      </w:r>
      <w:r w:rsidRPr="00F06396">
        <w:rPr>
          <w:rFonts w:cs="Arial"/>
          <w:bCs/>
          <w:sz w:val="22"/>
          <w:szCs w:val="22"/>
        </w:rPr>
        <w:t xml:space="preserve"> lo señalado en los párrafos [37] y [38] de este Dictamen. </w:t>
      </w:r>
    </w:p>
    <w:p w14:paraId="17AFC93B" w14:textId="77777777" w:rsidR="002A2F46" w:rsidRPr="00F06396" w:rsidRDefault="002A2F46" w:rsidP="004200DD">
      <w:pPr>
        <w:pStyle w:val="Prrafodelista"/>
        <w:widowControl/>
        <w:adjustRightInd/>
        <w:spacing w:line="240" w:lineRule="auto"/>
        <w:ind w:left="-12"/>
        <w:textAlignment w:val="auto"/>
        <w:rPr>
          <w:rFonts w:cs="Arial"/>
          <w:bCs/>
          <w:sz w:val="22"/>
          <w:szCs w:val="22"/>
        </w:rPr>
      </w:pPr>
    </w:p>
    <w:p w14:paraId="4DC79920" w14:textId="77777777" w:rsidR="002A2F46" w:rsidRPr="00F06396" w:rsidRDefault="002A2F46" w:rsidP="004200DD">
      <w:pPr>
        <w:pStyle w:val="Prrafodelista"/>
        <w:widowControl/>
        <w:numPr>
          <w:ilvl w:val="0"/>
          <w:numId w:val="35"/>
        </w:numPr>
        <w:adjustRightInd/>
        <w:spacing w:line="240" w:lineRule="auto"/>
        <w:ind w:left="-12" w:hanging="357"/>
        <w:textAlignment w:val="auto"/>
        <w:rPr>
          <w:rFonts w:cs="Arial"/>
          <w:bCs/>
          <w:sz w:val="22"/>
          <w:szCs w:val="22"/>
        </w:rPr>
      </w:pPr>
      <w:r w:rsidRPr="00F06396">
        <w:rPr>
          <w:rFonts w:cs="Arial"/>
          <w:bCs/>
          <w:sz w:val="22"/>
          <w:szCs w:val="22"/>
        </w:rPr>
        <w:t>c) Finalmente, se hace alusión a</w:t>
      </w:r>
      <w:r w:rsidR="007927C3" w:rsidRPr="00F06396">
        <w:rPr>
          <w:rFonts w:cs="Arial"/>
          <w:bCs/>
          <w:sz w:val="22"/>
          <w:szCs w:val="22"/>
        </w:rPr>
        <w:t xml:space="preserve"> </w:t>
      </w:r>
      <w:r w:rsidR="00441592" w:rsidRPr="00F06396">
        <w:rPr>
          <w:rFonts w:cs="Arial"/>
          <w:bCs/>
          <w:sz w:val="22"/>
          <w:szCs w:val="22"/>
        </w:rPr>
        <w:t>las Resoluciones N° 10520-A-2014 y 10518-A-2014</w:t>
      </w:r>
      <w:r w:rsidRPr="00F06396">
        <w:rPr>
          <w:rFonts w:cs="Arial"/>
          <w:bCs/>
          <w:sz w:val="22"/>
          <w:szCs w:val="22"/>
        </w:rPr>
        <w:t xml:space="preserve"> como acto confirmatorio del incumplimiento de las normas de origen y del artículo 139 del Acuerdo que supondría la exigencia de consignar la preferencia en el rubro de observaciones de los certificados de origen. </w:t>
      </w:r>
    </w:p>
    <w:p w14:paraId="7D4A3F68" w14:textId="77777777" w:rsidR="002A2F46" w:rsidRPr="00F06396" w:rsidRDefault="002A2F46" w:rsidP="004200DD">
      <w:pPr>
        <w:pStyle w:val="Prrafodelista"/>
        <w:widowControl/>
        <w:adjustRightInd/>
        <w:spacing w:line="240" w:lineRule="auto"/>
        <w:ind w:left="-12"/>
        <w:textAlignment w:val="auto"/>
        <w:rPr>
          <w:rFonts w:cs="Arial"/>
          <w:bCs/>
          <w:sz w:val="22"/>
          <w:szCs w:val="22"/>
        </w:rPr>
      </w:pPr>
    </w:p>
    <w:p w14:paraId="246F705E" w14:textId="77777777" w:rsidR="002A2F46" w:rsidRPr="00F06396" w:rsidRDefault="003F345D" w:rsidP="004200DD">
      <w:pPr>
        <w:pStyle w:val="Prrafodelista"/>
        <w:widowControl/>
        <w:numPr>
          <w:ilvl w:val="0"/>
          <w:numId w:val="35"/>
        </w:numPr>
        <w:adjustRightInd/>
        <w:spacing w:line="240" w:lineRule="auto"/>
        <w:ind w:left="-12" w:hanging="357"/>
        <w:textAlignment w:val="auto"/>
        <w:rPr>
          <w:rFonts w:cs="Arial"/>
          <w:bCs/>
          <w:sz w:val="22"/>
          <w:szCs w:val="22"/>
        </w:rPr>
      </w:pPr>
      <w:r w:rsidRPr="00F06396">
        <w:rPr>
          <w:rFonts w:cs="Arial"/>
          <w:bCs/>
          <w:sz w:val="22"/>
          <w:szCs w:val="22"/>
        </w:rPr>
        <w:t>L</w:t>
      </w:r>
      <w:r w:rsidR="002A2F46" w:rsidRPr="00F06396">
        <w:rPr>
          <w:rFonts w:cs="Arial"/>
          <w:bCs/>
          <w:sz w:val="22"/>
          <w:szCs w:val="22"/>
        </w:rPr>
        <w:t xml:space="preserve">a atenta lectura de su contenido permite advertir que dicho </w:t>
      </w:r>
      <w:r w:rsidR="00441592" w:rsidRPr="00F06396">
        <w:rPr>
          <w:rFonts w:cs="Arial"/>
          <w:bCs/>
          <w:sz w:val="22"/>
          <w:szCs w:val="22"/>
        </w:rPr>
        <w:t xml:space="preserve">Tribunal Fiscal </w:t>
      </w:r>
      <w:r w:rsidR="007927C3" w:rsidRPr="00F06396">
        <w:rPr>
          <w:rFonts w:cs="Arial"/>
          <w:bCs/>
          <w:sz w:val="22"/>
          <w:szCs w:val="22"/>
        </w:rPr>
        <w:t>reconoc</w:t>
      </w:r>
      <w:r w:rsidR="002A2F46" w:rsidRPr="00F06396">
        <w:rPr>
          <w:rFonts w:cs="Arial"/>
          <w:bCs/>
          <w:sz w:val="22"/>
          <w:szCs w:val="22"/>
        </w:rPr>
        <w:t>ió</w:t>
      </w:r>
      <w:r w:rsidR="007927C3" w:rsidRPr="00F06396">
        <w:rPr>
          <w:rFonts w:cs="Arial"/>
          <w:bCs/>
          <w:sz w:val="22"/>
          <w:szCs w:val="22"/>
        </w:rPr>
        <w:t xml:space="preserve"> el derecho de las reclamantes a acogerse </w:t>
      </w:r>
      <w:r w:rsidR="00441592" w:rsidRPr="00F06396">
        <w:rPr>
          <w:rFonts w:cs="Arial"/>
          <w:bCs/>
          <w:sz w:val="22"/>
          <w:szCs w:val="22"/>
        </w:rPr>
        <w:t>a la disposición liberatoria del ARAM 1 en aplicación de la Cláusula de Nación Más Favorecida</w:t>
      </w:r>
      <w:r w:rsidR="007927C3" w:rsidRPr="00F06396">
        <w:rPr>
          <w:rFonts w:cs="Arial"/>
          <w:bCs/>
          <w:sz w:val="22"/>
          <w:szCs w:val="22"/>
        </w:rPr>
        <w:t xml:space="preserve"> del Acuerdo de Cartagena</w:t>
      </w:r>
      <w:r w:rsidR="002A2F46" w:rsidRPr="00F06396">
        <w:rPr>
          <w:rFonts w:cs="Arial"/>
          <w:bCs/>
          <w:sz w:val="22"/>
          <w:szCs w:val="22"/>
        </w:rPr>
        <w:t>. Dicho reconocimiento a decir del señalado Tribunal se sujetó, sin embargo</w:t>
      </w:r>
      <w:r w:rsidR="00053FA9" w:rsidRPr="00F06396">
        <w:rPr>
          <w:rFonts w:cs="Arial"/>
          <w:bCs/>
          <w:sz w:val="22"/>
          <w:szCs w:val="22"/>
        </w:rPr>
        <w:t>,</w:t>
      </w:r>
      <w:r w:rsidR="002A2F46" w:rsidRPr="00F06396">
        <w:rPr>
          <w:rFonts w:cs="Arial"/>
          <w:bCs/>
          <w:sz w:val="22"/>
          <w:szCs w:val="22"/>
        </w:rPr>
        <w:t xml:space="preserve"> a la acreditación del </w:t>
      </w:r>
      <w:r w:rsidR="00441592" w:rsidRPr="00F06396">
        <w:rPr>
          <w:rFonts w:cs="Arial"/>
          <w:bCs/>
          <w:sz w:val="22"/>
          <w:szCs w:val="22"/>
        </w:rPr>
        <w:t>cumplimiento de los requisitos de negociación, expedición directa y origen</w:t>
      </w:r>
      <w:r w:rsidR="002A2F46" w:rsidRPr="00F06396">
        <w:rPr>
          <w:rFonts w:cs="Arial"/>
          <w:bCs/>
          <w:sz w:val="22"/>
          <w:szCs w:val="22"/>
        </w:rPr>
        <w:t>.</w:t>
      </w:r>
    </w:p>
    <w:p w14:paraId="62369C17" w14:textId="77777777" w:rsidR="002A2F46" w:rsidRPr="00F06396" w:rsidRDefault="002A2F46" w:rsidP="004200DD">
      <w:pPr>
        <w:pStyle w:val="Prrafodelista"/>
        <w:widowControl/>
        <w:adjustRightInd/>
        <w:spacing w:line="240" w:lineRule="auto"/>
        <w:ind w:left="-12"/>
        <w:textAlignment w:val="auto"/>
        <w:rPr>
          <w:rFonts w:cs="Arial"/>
          <w:bCs/>
          <w:sz w:val="22"/>
          <w:szCs w:val="22"/>
        </w:rPr>
      </w:pPr>
    </w:p>
    <w:p w14:paraId="640F054E" w14:textId="77777777" w:rsidR="003F345D" w:rsidRPr="00F06396" w:rsidRDefault="002A2F46" w:rsidP="004200DD">
      <w:pPr>
        <w:pStyle w:val="Prrafodelista"/>
        <w:widowControl/>
        <w:numPr>
          <w:ilvl w:val="0"/>
          <w:numId w:val="35"/>
        </w:numPr>
        <w:adjustRightInd/>
        <w:spacing w:line="240" w:lineRule="auto"/>
        <w:ind w:left="-12" w:hanging="357"/>
        <w:textAlignment w:val="auto"/>
        <w:rPr>
          <w:rFonts w:cs="Arial"/>
          <w:bCs/>
          <w:sz w:val="22"/>
          <w:szCs w:val="22"/>
        </w:rPr>
      </w:pPr>
      <w:r w:rsidRPr="00F06396">
        <w:rPr>
          <w:rFonts w:cs="Arial"/>
          <w:bCs/>
          <w:sz w:val="22"/>
          <w:szCs w:val="22"/>
        </w:rPr>
        <w:t>Así el Tribunal encontró que se había cumplido</w:t>
      </w:r>
      <w:r w:rsidR="00053FA9" w:rsidRPr="00F06396">
        <w:rPr>
          <w:rFonts w:cs="Arial"/>
          <w:bCs/>
          <w:sz w:val="22"/>
          <w:szCs w:val="22"/>
        </w:rPr>
        <w:t xml:space="preserve"> con</w:t>
      </w:r>
      <w:r w:rsidRPr="00F06396">
        <w:rPr>
          <w:rFonts w:cs="Arial"/>
          <w:bCs/>
          <w:sz w:val="22"/>
          <w:szCs w:val="22"/>
        </w:rPr>
        <w:t xml:space="preserve"> las dos primeras </w:t>
      </w:r>
      <w:r w:rsidR="004200DD" w:rsidRPr="00F06396">
        <w:rPr>
          <w:rFonts w:cs="Arial"/>
          <w:bCs/>
          <w:sz w:val="22"/>
          <w:szCs w:val="22"/>
        </w:rPr>
        <w:t xml:space="preserve">condiciones </w:t>
      </w:r>
      <w:r w:rsidRPr="00F06396">
        <w:rPr>
          <w:rFonts w:cs="Arial"/>
          <w:bCs/>
          <w:sz w:val="22"/>
          <w:szCs w:val="22"/>
        </w:rPr>
        <w:t>por cuanto en efecto el artículo 139 del Acuerdo de Cartagena</w:t>
      </w:r>
      <w:r w:rsidR="00053FA9" w:rsidRPr="00F06396">
        <w:rPr>
          <w:rFonts w:cs="Arial"/>
          <w:bCs/>
          <w:sz w:val="22"/>
          <w:szCs w:val="22"/>
        </w:rPr>
        <w:t xml:space="preserve"> existía y era aplicable</w:t>
      </w:r>
      <w:r w:rsidRPr="00F06396">
        <w:rPr>
          <w:rFonts w:cs="Arial"/>
          <w:bCs/>
          <w:sz w:val="22"/>
          <w:szCs w:val="22"/>
        </w:rPr>
        <w:t xml:space="preserve"> (revocando</w:t>
      </w:r>
      <w:r w:rsidR="003F345D" w:rsidRPr="00F06396">
        <w:rPr>
          <w:rFonts w:cs="Arial"/>
          <w:bCs/>
          <w:sz w:val="22"/>
          <w:szCs w:val="22"/>
        </w:rPr>
        <w:t xml:space="preserve"> de esta manera la resolución apelada que negaba esta posibilidad)</w:t>
      </w:r>
      <w:r w:rsidRPr="00F06396">
        <w:rPr>
          <w:rFonts w:cs="Arial"/>
          <w:bCs/>
          <w:sz w:val="22"/>
          <w:szCs w:val="22"/>
        </w:rPr>
        <w:t xml:space="preserve"> y </w:t>
      </w:r>
      <w:r w:rsidR="003F345D" w:rsidRPr="00F06396">
        <w:rPr>
          <w:rFonts w:cs="Arial"/>
          <w:bCs/>
          <w:sz w:val="22"/>
          <w:szCs w:val="22"/>
        </w:rPr>
        <w:t xml:space="preserve">se había probado </w:t>
      </w:r>
      <w:r w:rsidRPr="00F06396">
        <w:rPr>
          <w:rFonts w:cs="Arial"/>
          <w:bCs/>
          <w:sz w:val="22"/>
          <w:szCs w:val="22"/>
        </w:rPr>
        <w:t xml:space="preserve">la expedición directa de la mercancía, pero </w:t>
      </w:r>
      <w:r w:rsidR="00053FA9" w:rsidRPr="00F06396">
        <w:rPr>
          <w:rFonts w:cs="Arial"/>
          <w:bCs/>
          <w:sz w:val="22"/>
          <w:szCs w:val="22"/>
        </w:rPr>
        <w:t xml:space="preserve">encontró también </w:t>
      </w:r>
      <w:r w:rsidRPr="00F06396">
        <w:rPr>
          <w:rFonts w:cs="Arial"/>
          <w:bCs/>
          <w:sz w:val="22"/>
          <w:szCs w:val="22"/>
        </w:rPr>
        <w:t>que en materia de origen se</w:t>
      </w:r>
      <w:r w:rsidR="003F345D" w:rsidRPr="00F06396">
        <w:rPr>
          <w:rFonts w:cs="Arial"/>
          <w:bCs/>
          <w:sz w:val="22"/>
          <w:szCs w:val="22"/>
        </w:rPr>
        <w:t xml:space="preserve"> había</w:t>
      </w:r>
      <w:r w:rsidRPr="00F06396">
        <w:rPr>
          <w:rFonts w:cs="Arial"/>
          <w:bCs/>
          <w:sz w:val="22"/>
          <w:szCs w:val="22"/>
        </w:rPr>
        <w:t xml:space="preserve"> incumpli</w:t>
      </w:r>
      <w:r w:rsidR="003F345D" w:rsidRPr="00F06396">
        <w:rPr>
          <w:rFonts w:cs="Arial"/>
          <w:bCs/>
          <w:sz w:val="22"/>
          <w:szCs w:val="22"/>
        </w:rPr>
        <w:t>do</w:t>
      </w:r>
      <w:r w:rsidRPr="00F06396">
        <w:rPr>
          <w:rFonts w:cs="Arial"/>
          <w:bCs/>
          <w:sz w:val="22"/>
          <w:szCs w:val="22"/>
        </w:rPr>
        <w:t xml:space="preserve"> con consignar debidamente la preferencia en el certificado de origen al momento de la destinación aduanera</w:t>
      </w:r>
      <w:r w:rsidR="00053FA9" w:rsidRPr="00F06396">
        <w:rPr>
          <w:rFonts w:cs="Arial"/>
          <w:bCs/>
          <w:sz w:val="22"/>
          <w:szCs w:val="22"/>
        </w:rPr>
        <w:t>, sin que hubiera enmienda posterior, por lo que confirma la denegatoria del resarcimiento reclamado.</w:t>
      </w:r>
    </w:p>
    <w:p w14:paraId="2F4B7135" w14:textId="77777777" w:rsidR="00053FA9" w:rsidRPr="00F06396" w:rsidRDefault="00053FA9" w:rsidP="00053FA9">
      <w:pPr>
        <w:pStyle w:val="Prrafodelista"/>
        <w:rPr>
          <w:rFonts w:cs="Arial"/>
          <w:bCs/>
          <w:sz w:val="22"/>
          <w:szCs w:val="22"/>
        </w:rPr>
      </w:pPr>
    </w:p>
    <w:p w14:paraId="7C42B8FF" w14:textId="77777777" w:rsidR="003F345D" w:rsidRPr="00F06396" w:rsidRDefault="003F345D" w:rsidP="004200DD">
      <w:pPr>
        <w:pStyle w:val="Prrafodelista"/>
        <w:widowControl/>
        <w:numPr>
          <w:ilvl w:val="0"/>
          <w:numId w:val="35"/>
        </w:numPr>
        <w:adjustRightInd/>
        <w:spacing w:line="240" w:lineRule="auto"/>
        <w:ind w:left="-12" w:hanging="357"/>
        <w:textAlignment w:val="auto"/>
        <w:rPr>
          <w:rFonts w:cs="Arial"/>
          <w:i/>
          <w:sz w:val="22"/>
          <w:szCs w:val="22"/>
        </w:rPr>
      </w:pPr>
      <w:r w:rsidRPr="00F06396">
        <w:rPr>
          <w:rFonts w:cs="Arial"/>
          <w:bCs/>
          <w:sz w:val="22"/>
          <w:szCs w:val="22"/>
        </w:rPr>
        <w:t xml:space="preserve">Al respecto y como quiera que </w:t>
      </w:r>
      <w:r w:rsidR="00B83C64" w:rsidRPr="00F06396">
        <w:rPr>
          <w:rFonts w:cs="Arial"/>
          <w:bCs/>
          <w:sz w:val="22"/>
          <w:szCs w:val="22"/>
        </w:rPr>
        <w:t>el señalado</w:t>
      </w:r>
      <w:r w:rsidRPr="00F06396">
        <w:rPr>
          <w:rFonts w:cs="Arial"/>
          <w:bCs/>
          <w:sz w:val="22"/>
          <w:szCs w:val="22"/>
        </w:rPr>
        <w:t xml:space="preserve"> requerimiento formal</w:t>
      </w:r>
      <w:r w:rsidR="00053FA9" w:rsidRPr="00F06396">
        <w:rPr>
          <w:rFonts w:cs="Arial"/>
          <w:bCs/>
          <w:sz w:val="22"/>
          <w:szCs w:val="22"/>
        </w:rPr>
        <w:t xml:space="preserve"> de los certificados de origen dispuesto por la legislación peruana</w:t>
      </w:r>
      <w:r w:rsidRPr="00F06396">
        <w:rPr>
          <w:rFonts w:cs="Arial"/>
          <w:bCs/>
          <w:sz w:val="22"/>
          <w:szCs w:val="22"/>
        </w:rPr>
        <w:t xml:space="preserve"> se enc</w:t>
      </w:r>
      <w:r w:rsidR="00B83C64" w:rsidRPr="00F06396">
        <w:rPr>
          <w:rFonts w:cs="Arial"/>
          <w:bCs/>
          <w:sz w:val="22"/>
          <w:szCs w:val="22"/>
        </w:rPr>
        <w:t>uentra</w:t>
      </w:r>
      <w:r w:rsidRPr="00F06396">
        <w:rPr>
          <w:rFonts w:cs="Arial"/>
          <w:bCs/>
          <w:sz w:val="22"/>
          <w:szCs w:val="22"/>
        </w:rPr>
        <w:t xml:space="preserve"> procedente en virtud del principio de complemento indispensable</w:t>
      </w:r>
      <w:r w:rsidR="00B83C64" w:rsidRPr="00F06396">
        <w:rPr>
          <w:rFonts w:cs="Arial"/>
          <w:bCs/>
          <w:sz w:val="22"/>
          <w:szCs w:val="22"/>
        </w:rPr>
        <w:t>,</w:t>
      </w:r>
      <w:r w:rsidRPr="00F06396">
        <w:rPr>
          <w:rFonts w:cs="Arial"/>
          <w:bCs/>
          <w:sz w:val="22"/>
          <w:szCs w:val="22"/>
        </w:rPr>
        <w:t xml:space="preserve"> sin que esto constituya la revisión en vía de casación o de recurso de alzada de tales resoluciones</w:t>
      </w:r>
      <w:r w:rsidR="00053FA9" w:rsidRPr="00F06396">
        <w:rPr>
          <w:rFonts w:cs="Arial"/>
          <w:bCs/>
          <w:sz w:val="22"/>
          <w:szCs w:val="22"/>
        </w:rPr>
        <w:t xml:space="preserve"> del Tribunal fiscal</w:t>
      </w:r>
      <w:r w:rsidR="00B83C64" w:rsidRPr="00F06396">
        <w:rPr>
          <w:rFonts w:cs="Arial"/>
          <w:bCs/>
          <w:sz w:val="22"/>
          <w:szCs w:val="22"/>
        </w:rPr>
        <w:t>,</w:t>
      </w:r>
      <w:r w:rsidRPr="00F06396">
        <w:rPr>
          <w:rFonts w:cs="Arial"/>
          <w:bCs/>
          <w:sz w:val="22"/>
          <w:szCs w:val="22"/>
        </w:rPr>
        <w:t xml:space="preserve"> no se </w:t>
      </w:r>
      <w:r w:rsidR="00B83C64" w:rsidRPr="00F06396">
        <w:rPr>
          <w:rFonts w:cs="Arial"/>
          <w:bCs/>
          <w:sz w:val="22"/>
          <w:szCs w:val="22"/>
        </w:rPr>
        <w:t xml:space="preserve">advierte </w:t>
      </w:r>
      <w:r w:rsidR="00053FA9" w:rsidRPr="00F06396">
        <w:rPr>
          <w:rFonts w:cs="Arial"/>
          <w:bCs/>
          <w:sz w:val="22"/>
          <w:szCs w:val="22"/>
        </w:rPr>
        <w:t xml:space="preserve">que tales </w:t>
      </w:r>
      <w:r w:rsidR="00B83C64" w:rsidRPr="00F06396">
        <w:rPr>
          <w:rFonts w:cs="Arial"/>
          <w:bCs/>
          <w:sz w:val="22"/>
          <w:szCs w:val="22"/>
        </w:rPr>
        <w:t>Resoluciones del Tribunal Fiscal, al exigir su observancia,</w:t>
      </w:r>
      <w:r w:rsidR="00053FA9" w:rsidRPr="00F06396">
        <w:rPr>
          <w:rFonts w:cs="Arial"/>
          <w:bCs/>
          <w:sz w:val="22"/>
          <w:szCs w:val="22"/>
        </w:rPr>
        <w:t xml:space="preserve"> incumplan </w:t>
      </w:r>
      <w:r w:rsidR="00B83C64" w:rsidRPr="00F06396">
        <w:rPr>
          <w:rFonts w:cs="Arial"/>
          <w:bCs/>
          <w:sz w:val="22"/>
          <w:szCs w:val="22"/>
        </w:rPr>
        <w:t xml:space="preserve">con ello </w:t>
      </w:r>
      <w:r w:rsidR="00053FA9" w:rsidRPr="00F06396">
        <w:rPr>
          <w:rFonts w:cs="Arial"/>
          <w:bCs/>
          <w:sz w:val="22"/>
          <w:szCs w:val="22"/>
        </w:rPr>
        <w:t>el ordenamiento comunitario andino</w:t>
      </w:r>
      <w:r w:rsidRPr="00F06396">
        <w:rPr>
          <w:rFonts w:cs="Arial"/>
          <w:sz w:val="22"/>
          <w:szCs w:val="22"/>
        </w:rPr>
        <w:t>.</w:t>
      </w:r>
    </w:p>
    <w:p w14:paraId="26BFF810" w14:textId="77777777" w:rsidR="00CB7B86" w:rsidRPr="00F06396" w:rsidRDefault="00CB7B86" w:rsidP="00125988">
      <w:pPr>
        <w:widowControl/>
        <w:spacing w:line="240" w:lineRule="auto"/>
        <w:rPr>
          <w:rFonts w:cs="Arial"/>
          <w:sz w:val="22"/>
          <w:szCs w:val="22"/>
        </w:rPr>
      </w:pPr>
    </w:p>
    <w:p w14:paraId="2D9C472B" w14:textId="77777777" w:rsidR="00B93C43" w:rsidRPr="00F06396" w:rsidRDefault="00B93C43" w:rsidP="00125988">
      <w:pPr>
        <w:pStyle w:val="Prrafodelista"/>
        <w:widowControl/>
        <w:numPr>
          <w:ilvl w:val="0"/>
          <w:numId w:val="34"/>
        </w:numPr>
        <w:adjustRightInd/>
        <w:spacing w:line="240" w:lineRule="auto"/>
        <w:ind w:left="0" w:hanging="426"/>
        <w:textAlignment w:val="auto"/>
        <w:rPr>
          <w:rFonts w:cs="Arial"/>
          <w:b/>
          <w:sz w:val="22"/>
          <w:szCs w:val="22"/>
        </w:rPr>
      </w:pPr>
      <w:r w:rsidRPr="00F06396">
        <w:rPr>
          <w:rFonts w:cs="Arial"/>
          <w:b/>
          <w:sz w:val="22"/>
          <w:szCs w:val="22"/>
        </w:rPr>
        <w:t>CONCLUSIÓN.-</w:t>
      </w:r>
    </w:p>
    <w:p w14:paraId="5F630FCA" w14:textId="77777777" w:rsidR="00B93C43" w:rsidRPr="00F06396" w:rsidRDefault="00B93C43" w:rsidP="002C3C6B">
      <w:pPr>
        <w:pStyle w:val="Prrafodelista"/>
        <w:widowControl/>
        <w:adjustRightInd/>
        <w:spacing w:line="240" w:lineRule="auto"/>
        <w:ind w:left="-12"/>
        <w:textAlignment w:val="auto"/>
        <w:rPr>
          <w:rFonts w:cs="Arial"/>
          <w:bCs/>
          <w:color w:val="000000"/>
          <w:sz w:val="22"/>
          <w:szCs w:val="22"/>
        </w:rPr>
      </w:pPr>
    </w:p>
    <w:p w14:paraId="7661AA0C" w14:textId="77777777" w:rsidR="002C3C6B" w:rsidRPr="00F06396" w:rsidRDefault="002C3C6B" w:rsidP="002C3C6B">
      <w:pPr>
        <w:pStyle w:val="Prrafodelista"/>
        <w:widowControl/>
        <w:numPr>
          <w:ilvl w:val="0"/>
          <w:numId w:val="35"/>
        </w:numPr>
        <w:adjustRightInd/>
        <w:spacing w:line="240" w:lineRule="auto"/>
        <w:ind w:left="-12" w:hanging="357"/>
        <w:textAlignment w:val="auto"/>
        <w:rPr>
          <w:rFonts w:cs="Arial"/>
          <w:bCs/>
          <w:color w:val="000000"/>
          <w:sz w:val="22"/>
          <w:szCs w:val="22"/>
        </w:rPr>
      </w:pPr>
      <w:r w:rsidRPr="00F06396">
        <w:rPr>
          <w:rFonts w:cs="Arial"/>
          <w:bCs/>
          <w:color w:val="000000"/>
          <w:sz w:val="22"/>
          <w:szCs w:val="22"/>
        </w:rPr>
        <w:t xml:space="preserve">Con base en las consideraciones expresadas, la información suministrada por las Partes, lo actuado por la Secretaría General en el curso del procedimiento y lo obrante en el expediente del caso, se considera que la conducta reclamada, </w:t>
      </w:r>
      <w:r w:rsidR="00F66608" w:rsidRPr="00F06396">
        <w:rPr>
          <w:rFonts w:cs="Arial"/>
          <w:bCs/>
          <w:color w:val="000000"/>
          <w:sz w:val="22"/>
          <w:szCs w:val="22"/>
        </w:rPr>
        <w:t>ha cesado a la fecha</w:t>
      </w:r>
      <w:r w:rsidR="00B83C64" w:rsidRPr="00F06396">
        <w:rPr>
          <w:rFonts w:cs="Arial"/>
          <w:bCs/>
          <w:color w:val="000000"/>
          <w:sz w:val="22"/>
          <w:szCs w:val="22"/>
        </w:rPr>
        <w:t xml:space="preserve"> de</w:t>
      </w:r>
      <w:r w:rsidRPr="00F06396">
        <w:rPr>
          <w:rFonts w:cs="Arial"/>
          <w:bCs/>
          <w:color w:val="000000"/>
          <w:sz w:val="22"/>
          <w:szCs w:val="22"/>
        </w:rPr>
        <w:t xml:space="preserve">l </w:t>
      </w:r>
      <w:r w:rsidRPr="00F06396">
        <w:rPr>
          <w:rFonts w:cs="Arial"/>
          <w:bCs/>
          <w:color w:val="000000"/>
          <w:sz w:val="22"/>
          <w:szCs w:val="22"/>
        </w:rPr>
        <w:lastRenderedPageBreak/>
        <w:t>presente</w:t>
      </w:r>
      <w:r w:rsidR="00B83C64" w:rsidRPr="00F06396">
        <w:rPr>
          <w:rFonts w:cs="Arial"/>
          <w:bCs/>
          <w:color w:val="000000"/>
          <w:sz w:val="22"/>
          <w:szCs w:val="22"/>
        </w:rPr>
        <w:t xml:space="preserve"> Dictamen</w:t>
      </w:r>
      <w:r w:rsidR="00F66608" w:rsidRPr="00F06396">
        <w:rPr>
          <w:rFonts w:cs="Arial"/>
          <w:bCs/>
          <w:color w:val="000000"/>
          <w:sz w:val="22"/>
          <w:szCs w:val="22"/>
        </w:rPr>
        <w:t xml:space="preserve"> por efecto</w:t>
      </w:r>
      <w:r w:rsidR="004200DD" w:rsidRPr="00F06396">
        <w:rPr>
          <w:rFonts w:cs="Arial"/>
          <w:bCs/>
          <w:color w:val="000000"/>
          <w:sz w:val="22"/>
          <w:szCs w:val="22"/>
        </w:rPr>
        <w:t xml:space="preserve"> de la derogatoria producida por la Resolución de Superintendencia Nacional Adjunta de Aduanas N° 395-2012/SUNAT/A que aprueba el Procedimiento Específico Aplicación de Preferencias al Amparo de la Comunidad Andina de Naciones INTA-PE 01.11 (Versión 3) publicada en el Diario Oficial El Peruano el 16 de agosto de 2012.</w:t>
      </w:r>
      <w:r w:rsidRPr="00F06396">
        <w:rPr>
          <w:rFonts w:cs="Arial"/>
          <w:bCs/>
          <w:color w:val="000000"/>
          <w:sz w:val="22"/>
          <w:szCs w:val="22"/>
        </w:rPr>
        <w:t xml:space="preserve"> Dicho cese de la conducta, acarrea la terminación del presente procedimiento por razones de sustracción de materia, la misma que requiere ser así declarada mediante Dictamen.</w:t>
      </w:r>
    </w:p>
    <w:p w14:paraId="1BC57D41" w14:textId="77777777" w:rsidR="004200DD" w:rsidRPr="00F06396" w:rsidRDefault="004200DD" w:rsidP="002C3C6B">
      <w:pPr>
        <w:pStyle w:val="Prrafodelista"/>
        <w:widowControl/>
        <w:adjustRightInd/>
        <w:spacing w:line="240" w:lineRule="auto"/>
        <w:ind w:left="-12"/>
        <w:textAlignment w:val="auto"/>
        <w:rPr>
          <w:rFonts w:cs="Arial"/>
          <w:bCs/>
          <w:color w:val="000000"/>
          <w:sz w:val="22"/>
          <w:szCs w:val="22"/>
        </w:rPr>
      </w:pPr>
    </w:p>
    <w:p w14:paraId="0262F9DD" w14:textId="77777777" w:rsidR="002C3C6B" w:rsidRPr="00F06396" w:rsidRDefault="002C3C6B" w:rsidP="002C3C6B">
      <w:pPr>
        <w:pStyle w:val="Prrafodelista"/>
        <w:widowControl/>
        <w:numPr>
          <w:ilvl w:val="0"/>
          <w:numId w:val="35"/>
        </w:numPr>
        <w:adjustRightInd/>
        <w:spacing w:line="240" w:lineRule="auto"/>
        <w:ind w:left="-12" w:hanging="357"/>
        <w:textAlignment w:val="auto"/>
        <w:rPr>
          <w:rFonts w:cs="Arial"/>
          <w:b/>
          <w:sz w:val="22"/>
          <w:szCs w:val="22"/>
        </w:rPr>
      </w:pPr>
      <w:r w:rsidRPr="00F06396">
        <w:rPr>
          <w:rFonts w:cs="Arial"/>
          <w:bCs/>
          <w:color w:val="000000"/>
          <w:sz w:val="22"/>
          <w:szCs w:val="22"/>
        </w:rPr>
        <w:t>Esta declaratoria, sin embargo, no desconoce el hecho de que durante el lapso que medió entre la fecha que medio entre la vigencia de la Resolución de Intendencia Nacional 984 publicada en el Diario Oficial El Peruano el 12 de setiembre de 1999 sustituida por la Resolución INTA-PE.01.11 versión 2 del 12 de diciembre de 2003 publicada en el Diario Oficial El Peruano el día 11 del mismo mes y la derogatoria indicada, no se encontró incumplimiento de la Decisión 416 - Normas Especiales para la Calificación y Certificación del Origen de las Mercancías - ni del artículo 139 del Acuerdo de Cartagena, por parte de la República del Perú, al exigir que los administrados consignen en el rubro de “observaciones” de los certificados de origen la preferencia arancelaria objeto de NMF.</w:t>
      </w:r>
    </w:p>
    <w:p w14:paraId="2A183F32" w14:textId="77777777" w:rsidR="002C3C6B" w:rsidRPr="00F06396" w:rsidRDefault="002C3C6B" w:rsidP="004200DD">
      <w:pPr>
        <w:pStyle w:val="Prrafodelista"/>
        <w:widowControl/>
        <w:adjustRightInd/>
        <w:spacing w:line="240" w:lineRule="auto"/>
        <w:ind w:left="-12"/>
        <w:textAlignment w:val="auto"/>
        <w:rPr>
          <w:rFonts w:cs="Arial"/>
          <w:b/>
          <w:sz w:val="22"/>
          <w:szCs w:val="22"/>
        </w:rPr>
      </w:pPr>
    </w:p>
    <w:p w14:paraId="7F3D2593" w14:textId="77777777" w:rsidR="00B93C43" w:rsidRPr="00F06396" w:rsidRDefault="00B93C43" w:rsidP="004200DD">
      <w:pPr>
        <w:pStyle w:val="Prrafodelista"/>
        <w:widowControl/>
        <w:numPr>
          <w:ilvl w:val="0"/>
          <w:numId w:val="35"/>
        </w:numPr>
        <w:adjustRightInd/>
        <w:spacing w:line="240" w:lineRule="auto"/>
        <w:ind w:left="-12" w:hanging="357"/>
        <w:textAlignment w:val="auto"/>
        <w:rPr>
          <w:rFonts w:cs="Arial"/>
          <w:sz w:val="22"/>
          <w:szCs w:val="22"/>
        </w:rPr>
      </w:pPr>
      <w:r w:rsidRPr="00F06396">
        <w:rPr>
          <w:rFonts w:cs="Arial"/>
          <w:sz w:val="22"/>
          <w:szCs w:val="22"/>
        </w:rPr>
        <w:t>Se dispone en consecuencia, el archivo del expediente.</w:t>
      </w:r>
    </w:p>
    <w:p w14:paraId="67D76306" w14:textId="77777777" w:rsidR="008E7210" w:rsidRPr="00F06396" w:rsidRDefault="008E7210" w:rsidP="00125988">
      <w:pPr>
        <w:widowControl/>
        <w:adjustRightInd/>
        <w:spacing w:line="240" w:lineRule="auto"/>
        <w:textAlignment w:val="auto"/>
        <w:rPr>
          <w:rFonts w:cs="Arial"/>
          <w:sz w:val="22"/>
          <w:szCs w:val="22"/>
        </w:rPr>
      </w:pPr>
    </w:p>
    <w:p w14:paraId="4CFEC94D" w14:textId="77777777" w:rsidR="00B93C43" w:rsidRDefault="00B93C43" w:rsidP="00125988">
      <w:pPr>
        <w:widowControl/>
        <w:adjustRightInd/>
        <w:spacing w:line="240" w:lineRule="auto"/>
        <w:textAlignment w:val="auto"/>
        <w:rPr>
          <w:rFonts w:cs="Arial"/>
          <w:sz w:val="22"/>
          <w:szCs w:val="22"/>
        </w:rPr>
      </w:pPr>
    </w:p>
    <w:p w14:paraId="657D6CEE" w14:textId="77777777" w:rsidR="00F75082" w:rsidRPr="00F06396" w:rsidRDefault="00F75082" w:rsidP="00125988">
      <w:pPr>
        <w:widowControl/>
        <w:adjustRightInd/>
        <w:spacing w:line="240" w:lineRule="auto"/>
        <w:textAlignment w:val="auto"/>
        <w:rPr>
          <w:rFonts w:cs="Arial"/>
          <w:sz w:val="22"/>
          <w:szCs w:val="22"/>
        </w:rPr>
      </w:pPr>
    </w:p>
    <w:p w14:paraId="17C8DE20" w14:textId="77777777" w:rsidR="004200DD" w:rsidRPr="00F06396" w:rsidRDefault="004200DD" w:rsidP="00125988">
      <w:pPr>
        <w:widowControl/>
        <w:adjustRightInd/>
        <w:spacing w:line="240" w:lineRule="auto"/>
        <w:textAlignment w:val="auto"/>
        <w:rPr>
          <w:rFonts w:cs="Arial"/>
          <w:sz w:val="22"/>
          <w:szCs w:val="22"/>
        </w:rPr>
      </w:pPr>
    </w:p>
    <w:p w14:paraId="0FFE282D" w14:textId="77777777" w:rsidR="00F75082" w:rsidRDefault="00F75082" w:rsidP="00F75082">
      <w:pPr>
        <w:widowControl/>
        <w:spacing w:line="240" w:lineRule="auto"/>
        <w:jc w:val="center"/>
        <w:rPr>
          <w:rFonts w:cs="Arial"/>
          <w:bCs/>
          <w:sz w:val="22"/>
          <w:szCs w:val="22"/>
        </w:rPr>
      </w:pPr>
      <w:bookmarkStart w:id="0" w:name="_GoBack"/>
      <w:r>
        <w:rPr>
          <w:rFonts w:cs="Arial"/>
          <w:bCs/>
          <w:sz w:val="22"/>
          <w:szCs w:val="22"/>
        </w:rPr>
        <w:t xml:space="preserve">Pablo Guzmán </w:t>
      </w:r>
      <w:proofErr w:type="spellStart"/>
      <w:r>
        <w:rPr>
          <w:rFonts w:cs="Arial"/>
          <w:bCs/>
          <w:sz w:val="22"/>
          <w:szCs w:val="22"/>
        </w:rPr>
        <w:t>Laugier</w:t>
      </w:r>
      <w:proofErr w:type="spellEnd"/>
    </w:p>
    <w:p w14:paraId="245802D1" w14:textId="77777777" w:rsidR="00F75082" w:rsidRPr="00302970" w:rsidRDefault="00F75082" w:rsidP="00F75082">
      <w:pPr>
        <w:widowControl/>
        <w:spacing w:line="240" w:lineRule="auto"/>
        <w:jc w:val="center"/>
        <w:rPr>
          <w:rFonts w:cs="Arial"/>
          <w:b/>
          <w:bCs/>
          <w:sz w:val="20"/>
        </w:rPr>
      </w:pPr>
      <w:r w:rsidRPr="00302970">
        <w:rPr>
          <w:rFonts w:cs="Arial"/>
          <w:b/>
          <w:bCs/>
          <w:sz w:val="20"/>
        </w:rPr>
        <w:t>Secretario General</w:t>
      </w:r>
    </w:p>
    <w:bookmarkEnd w:id="0"/>
    <w:p w14:paraId="5F70D5CE" w14:textId="77777777" w:rsidR="00CB7B86" w:rsidRPr="00F06396" w:rsidRDefault="00CB7B86" w:rsidP="00125988">
      <w:pPr>
        <w:widowControl/>
        <w:adjustRightInd/>
        <w:spacing w:line="240" w:lineRule="auto"/>
        <w:textAlignment w:val="auto"/>
        <w:rPr>
          <w:rFonts w:cs="Arial"/>
          <w:sz w:val="22"/>
          <w:szCs w:val="22"/>
        </w:rPr>
      </w:pPr>
    </w:p>
    <w:sectPr w:rsidR="00CB7B86" w:rsidRPr="00F06396" w:rsidSect="00156691">
      <w:headerReference w:type="even" r:id="rId11"/>
      <w:headerReference w:type="default" r:id="rId12"/>
      <w:pgSz w:w="11906" w:h="16838" w:code="9"/>
      <w:pgMar w:top="1418" w:right="1418" w:bottom="1134" w:left="1701" w:header="709" w:footer="709" w:gutter="0"/>
      <w:pgNumType w:fmt="numberInDash" w:start="1"/>
      <w:cols w:space="708"/>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4821451" w14:textId="77777777" w:rsidR="00133D92" w:rsidRDefault="00133D92">
      <w:r>
        <w:separator/>
      </w:r>
    </w:p>
  </w:endnote>
  <w:endnote w:type="continuationSeparator" w:id="0">
    <w:p w14:paraId="7BD76EBF" w14:textId="77777777" w:rsidR="00133D92" w:rsidRDefault="00133D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Tahoma">
    <w:panose1 w:val="020B0604030504040204"/>
    <w:charset w:val="00"/>
    <w:family w:val="auto"/>
    <w:pitch w:val="variable"/>
    <w:sig w:usb0="E1002AFF" w:usb1="C000605B" w:usb2="00000029" w:usb3="00000000" w:csb0="000101F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3BEF063" w14:textId="77777777" w:rsidR="00133D92" w:rsidRDefault="00133D92">
      <w:r>
        <w:separator/>
      </w:r>
    </w:p>
  </w:footnote>
  <w:footnote w:type="continuationSeparator" w:id="0">
    <w:p w14:paraId="571281BC" w14:textId="77777777" w:rsidR="00133D92" w:rsidRDefault="00133D92">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EE76E3D" w14:textId="77777777" w:rsidR="004200DD" w:rsidRDefault="0071268D" w:rsidP="00A97D9E">
    <w:pPr>
      <w:pStyle w:val="Encabezado"/>
      <w:framePr w:wrap="around" w:vAnchor="text" w:hAnchor="margin" w:xAlign="center" w:y="1"/>
      <w:rPr>
        <w:rStyle w:val="Nmerodepgina"/>
      </w:rPr>
    </w:pPr>
    <w:r>
      <w:rPr>
        <w:rStyle w:val="Nmerodepgina"/>
      </w:rPr>
      <w:fldChar w:fldCharType="begin"/>
    </w:r>
    <w:r w:rsidR="004200DD">
      <w:rPr>
        <w:rStyle w:val="Nmerodepgina"/>
      </w:rPr>
      <w:instrText xml:space="preserve">PAGE  </w:instrText>
    </w:r>
    <w:r>
      <w:rPr>
        <w:rStyle w:val="Nmerodepgina"/>
      </w:rPr>
      <w:fldChar w:fldCharType="end"/>
    </w:r>
  </w:p>
  <w:p w14:paraId="0F7D25D4" w14:textId="77777777" w:rsidR="004200DD" w:rsidRDefault="004200DD">
    <w:pPr>
      <w:pStyle w:val="Encabezado"/>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22"/>
        <w:szCs w:val="22"/>
      </w:rPr>
      <w:id w:val="3593780"/>
      <w:docPartObj>
        <w:docPartGallery w:val="Page Numbers (Top of Page)"/>
        <w:docPartUnique/>
      </w:docPartObj>
    </w:sdtPr>
    <w:sdtEndPr/>
    <w:sdtContent>
      <w:p w14:paraId="3FFD322A" w14:textId="77777777" w:rsidR="004200DD" w:rsidRPr="005B7B31" w:rsidRDefault="0071268D" w:rsidP="005B7B31">
        <w:pPr>
          <w:pStyle w:val="Encabezado"/>
          <w:jc w:val="center"/>
          <w:rPr>
            <w:sz w:val="22"/>
            <w:szCs w:val="22"/>
          </w:rPr>
        </w:pPr>
        <w:r w:rsidRPr="005B7B31">
          <w:rPr>
            <w:sz w:val="22"/>
            <w:szCs w:val="22"/>
          </w:rPr>
          <w:fldChar w:fldCharType="begin"/>
        </w:r>
        <w:r w:rsidR="004200DD" w:rsidRPr="005B7B31">
          <w:rPr>
            <w:sz w:val="22"/>
            <w:szCs w:val="22"/>
          </w:rPr>
          <w:instrText xml:space="preserve"> PAGE   \* MERGEFORMAT </w:instrText>
        </w:r>
        <w:r w:rsidRPr="005B7B31">
          <w:rPr>
            <w:sz w:val="22"/>
            <w:szCs w:val="22"/>
          </w:rPr>
          <w:fldChar w:fldCharType="separate"/>
        </w:r>
        <w:r w:rsidR="00F75082">
          <w:rPr>
            <w:noProof/>
            <w:sz w:val="22"/>
            <w:szCs w:val="22"/>
          </w:rPr>
          <w:t>12</w:t>
        </w:r>
        <w:r w:rsidRPr="005B7B31">
          <w:rPr>
            <w:sz w:val="22"/>
            <w:szCs w:val="22"/>
          </w:rPr>
          <w:fldChar w:fldCharType="end"/>
        </w:r>
      </w:p>
    </w:sdtContent>
  </w:sdt>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23885"/>
    <w:multiLevelType w:val="hybridMultilevel"/>
    <w:tmpl w:val="07827ABA"/>
    <w:lvl w:ilvl="0" w:tplc="546ABE06">
      <w:start w:val="1"/>
      <w:numFmt w:val="decimal"/>
      <w:lvlText w:val="[%1]"/>
      <w:lvlJc w:val="left"/>
      <w:pPr>
        <w:ind w:left="720" w:hanging="360"/>
      </w:pPr>
      <w:rPr>
        <w:rFonts w:hint="default"/>
        <w:b w:val="0"/>
        <w:i w:val="0"/>
        <w:color w:val="auto"/>
        <w:sz w:val="16"/>
        <w:szCs w:val="16"/>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
    <w:nsid w:val="03A6331F"/>
    <w:multiLevelType w:val="multilevel"/>
    <w:tmpl w:val="DD64F3A6"/>
    <w:lvl w:ilvl="0">
      <w:start w:val="5"/>
      <w:numFmt w:val="decimal"/>
      <w:lvlText w:val="%1"/>
      <w:lvlJc w:val="left"/>
      <w:pPr>
        <w:ind w:left="525" w:hanging="525"/>
      </w:pPr>
      <w:rPr>
        <w:rFonts w:hint="default"/>
      </w:rPr>
    </w:lvl>
    <w:lvl w:ilvl="1">
      <w:start w:val="3"/>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nsid w:val="055E158A"/>
    <w:multiLevelType w:val="hybridMultilevel"/>
    <w:tmpl w:val="EE2A7DF8"/>
    <w:lvl w:ilvl="0" w:tplc="280A000F">
      <w:start w:val="1"/>
      <w:numFmt w:val="decimal"/>
      <w:lvlText w:val="%1."/>
      <w:lvlJc w:val="left"/>
      <w:pPr>
        <w:ind w:left="1854" w:hanging="360"/>
      </w:pPr>
    </w:lvl>
    <w:lvl w:ilvl="1" w:tplc="280A0019" w:tentative="1">
      <w:start w:val="1"/>
      <w:numFmt w:val="lowerLetter"/>
      <w:lvlText w:val="%2."/>
      <w:lvlJc w:val="left"/>
      <w:pPr>
        <w:ind w:left="2574" w:hanging="360"/>
      </w:pPr>
    </w:lvl>
    <w:lvl w:ilvl="2" w:tplc="280A001B" w:tentative="1">
      <w:start w:val="1"/>
      <w:numFmt w:val="lowerRoman"/>
      <w:lvlText w:val="%3."/>
      <w:lvlJc w:val="right"/>
      <w:pPr>
        <w:ind w:left="3294" w:hanging="180"/>
      </w:pPr>
    </w:lvl>
    <w:lvl w:ilvl="3" w:tplc="280A000F" w:tentative="1">
      <w:start w:val="1"/>
      <w:numFmt w:val="decimal"/>
      <w:lvlText w:val="%4."/>
      <w:lvlJc w:val="left"/>
      <w:pPr>
        <w:ind w:left="4014" w:hanging="360"/>
      </w:pPr>
    </w:lvl>
    <w:lvl w:ilvl="4" w:tplc="280A0019" w:tentative="1">
      <w:start w:val="1"/>
      <w:numFmt w:val="lowerLetter"/>
      <w:lvlText w:val="%5."/>
      <w:lvlJc w:val="left"/>
      <w:pPr>
        <w:ind w:left="4734" w:hanging="360"/>
      </w:pPr>
    </w:lvl>
    <w:lvl w:ilvl="5" w:tplc="280A001B" w:tentative="1">
      <w:start w:val="1"/>
      <w:numFmt w:val="lowerRoman"/>
      <w:lvlText w:val="%6."/>
      <w:lvlJc w:val="right"/>
      <w:pPr>
        <w:ind w:left="5454" w:hanging="180"/>
      </w:pPr>
    </w:lvl>
    <w:lvl w:ilvl="6" w:tplc="280A000F" w:tentative="1">
      <w:start w:val="1"/>
      <w:numFmt w:val="decimal"/>
      <w:lvlText w:val="%7."/>
      <w:lvlJc w:val="left"/>
      <w:pPr>
        <w:ind w:left="6174" w:hanging="360"/>
      </w:pPr>
    </w:lvl>
    <w:lvl w:ilvl="7" w:tplc="280A0019" w:tentative="1">
      <w:start w:val="1"/>
      <w:numFmt w:val="lowerLetter"/>
      <w:lvlText w:val="%8."/>
      <w:lvlJc w:val="left"/>
      <w:pPr>
        <w:ind w:left="6894" w:hanging="360"/>
      </w:pPr>
    </w:lvl>
    <w:lvl w:ilvl="8" w:tplc="280A001B" w:tentative="1">
      <w:start w:val="1"/>
      <w:numFmt w:val="lowerRoman"/>
      <w:lvlText w:val="%9."/>
      <w:lvlJc w:val="right"/>
      <w:pPr>
        <w:ind w:left="7614" w:hanging="180"/>
      </w:pPr>
    </w:lvl>
  </w:abstractNum>
  <w:abstractNum w:abstractNumId="3">
    <w:nsid w:val="07DF2D21"/>
    <w:multiLevelType w:val="hybridMultilevel"/>
    <w:tmpl w:val="9E604CB4"/>
    <w:lvl w:ilvl="0" w:tplc="7E0AB170">
      <w:start w:val="2"/>
      <w:numFmt w:val="bullet"/>
      <w:lvlText w:val="-"/>
      <w:lvlJc w:val="left"/>
      <w:pPr>
        <w:ind w:left="1080" w:hanging="360"/>
      </w:pPr>
      <w:rPr>
        <w:rFonts w:ascii="Arial" w:eastAsia="Times New Roman" w:hAnsi="Arial" w:cs="Arial" w:hint="default"/>
      </w:rPr>
    </w:lvl>
    <w:lvl w:ilvl="1" w:tplc="280A0003" w:tentative="1">
      <w:start w:val="1"/>
      <w:numFmt w:val="bullet"/>
      <w:lvlText w:val="o"/>
      <w:lvlJc w:val="left"/>
      <w:pPr>
        <w:ind w:left="1800" w:hanging="360"/>
      </w:pPr>
      <w:rPr>
        <w:rFonts w:ascii="Courier New" w:hAnsi="Courier New" w:cs="Courier New" w:hint="default"/>
      </w:rPr>
    </w:lvl>
    <w:lvl w:ilvl="2" w:tplc="280A0005" w:tentative="1">
      <w:start w:val="1"/>
      <w:numFmt w:val="bullet"/>
      <w:lvlText w:val=""/>
      <w:lvlJc w:val="left"/>
      <w:pPr>
        <w:ind w:left="2520" w:hanging="360"/>
      </w:pPr>
      <w:rPr>
        <w:rFonts w:ascii="Wingdings" w:hAnsi="Wingdings" w:hint="default"/>
      </w:rPr>
    </w:lvl>
    <w:lvl w:ilvl="3" w:tplc="280A0001" w:tentative="1">
      <w:start w:val="1"/>
      <w:numFmt w:val="bullet"/>
      <w:lvlText w:val=""/>
      <w:lvlJc w:val="left"/>
      <w:pPr>
        <w:ind w:left="3240" w:hanging="360"/>
      </w:pPr>
      <w:rPr>
        <w:rFonts w:ascii="Symbol" w:hAnsi="Symbol" w:hint="default"/>
      </w:rPr>
    </w:lvl>
    <w:lvl w:ilvl="4" w:tplc="280A0003" w:tentative="1">
      <w:start w:val="1"/>
      <w:numFmt w:val="bullet"/>
      <w:lvlText w:val="o"/>
      <w:lvlJc w:val="left"/>
      <w:pPr>
        <w:ind w:left="3960" w:hanging="360"/>
      </w:pPr>
      <w:rPr>
        <w:rFonts w:ascii="Courier New" w:hAnsi="Courier New" w:cs="Courier New" w:hint="default"/>
      </w:rPr>
    </w:lvl>
    <w:lvl w:ilvl="5" w:tplc="280A0005" w:tentative="1">
      <w:start w:val="1"/>
      <w:numFmt w:val="bullet"/>
      <w:lvlText w:val=""/>
      <w:lvlJc w:val="left"/>
      <w:pPr>
        <w:ind w:left="4680" w:hanging="360"/>
      </w:pPr>
      <w:rPr>
        <w:rFonts w:ascii="Wingdings" w:hAnsi="Wingdings" w:hint="default"/>
      </w:rPr>
    </w:lvl>
    <w:lvl w:ilvl="6" w:tplc="280A0001" w:tentative="1">
      <w:start w:val="1"/>
      <w:numFmt w:val="bullet"/>
      <w:lvlText w:val=""/>
      <w:lvlJc w:val="left"/>
      <w:pPr>
        <w:ind w:left="5400" w:hanging="360"/>
      </w:pPr>
      <w:rPr>
        <w:rFonts w:ascii="Symbol" w:hAnsi="Symbol" w:hint="default"/>
      </w:rPr>
    </w:lvl>
    <w:lvl w:ilvl="7" w:tplc="280A0003" w:tentative="1">
      <w:start w:val="1"/>
      <w:numFmt w:val="bullet"/>
      <w:lvlText w:val="o"/>
      <w:lvlJc w:val="left"/>
      <w:pPr>
        <w:ind w:left="6120" w:hanging="360"/>
      </w:pPr>
      <w:rPr>
        <w:rFonts w:ascii="Courier New" w:hAnsi="Courier New" w:cs="Courier New" w:hint="default"/>
      </w:rPr>
    </w:lvl>
    <w:lvl w:ilvl="8" w:tplc="280A0005" w:tentative="1">
      <w:start w:val="1"/>
      <w:numFmt w:val="bullet"/>
      <w:lvlText w:val=""/>
      <w:lvlJc w:val="left"/>
      <w:pPr>
        <w:ind w:left="6840" w:hanging="360"/>
      </w:pPr>
      <w:rPr>
        <w:rFonts w:ascii="Wingdings" w:hAnsi="Wingdings" w:hint="default"/>
      </w:rPr>
    </w:lvl>
  </w:abstractNum>
  <w:abstractNum w:abstractNumId="4">
    <w:nsid w:val="09025451"/>
    <w:multiLevelType w:val="multilevel"/>
    <w:tmpl w:val="BA3C13BC"/>
    <w:lvl w:ilvl="0">
      <w:start w:val="3"/>
      <w:numFmt w:val="decimal"/>
      <w:lvlText w:val="%1."/>
      <w:lvlJc w:val="left"/>
      <w:pPr>
        <w:tabs>
          <w:tab w:val="num" w:pos="570"/>
        </w:tabs>
        <w:ind w:left="570" w:hanging="57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5">
    <w:nsid w:val="0923277C"/>
    <w:multiLevelType w:val="hybridMultilevel"/>
    <w:tmpl w:val="74DA6004"/>
    <w:lvl w:ilvl="0" w:tplc="6AFA6A4E">
      <w:start w:val="3"/>
      <w:numFmt w:val="upperRoman"/>
      <w:lvlText w:val="%1."/>
      <w:lvlJc w:val="left"/>
      <w:pPr>
        <w:tabs>
          <w:tab w:val="num" w:pos="720"/>
        </w:tabs>
        <w:ind w:left="720" w:hanging="720"/>
      </w:pPr>
      <w:rPr>
        <w:rFonts w:hint="default"/>
      </w:rPr>
    </w:lvl>
    <w:lvl w:ilvl="1" w:tplc="280A0019">
      <w:start w:val="1"/>
      <w:numFmt w:val="lowerLetter"/>
      <w:lvlText w:val="%2."/>
      <w:lvlJc w:val="left"/>
      <w:pPr>
        <w:tabs>
          <w:tab w:val="num" w:pos="1080"/>
        </w:tabs>
        <w:ind w:left="1080" w:hanging="360"/>
      </w:pPr>
    </w:lvl>
    <w:lvl w:ilvl="2" w:tplc="E6529268">
      <w:start w:val="2"/>
      <w:numFmt w:val="decimal"/>
      <w:lvlText w:val="%3."/>
      <w:lvlJc w:val="left"/>
      <w:pPr>
        <w:tabs>
          <w:tab w:val="num" w:pos="1980"/>
        </w:tabs>
        <w:ind w:left="1980" w:hanging="360"/>
      </w:pPr>
      <w:rPr>
        <w:rFonts w:hint="default"/>
        <w:i w:val="0"/>
      </w:rPr>
    </w:lvl>
    <w:lvl w:ilvl="3" w:tplc="F44C8EF0">
      <w:start w:val="1"/>
      <w:numFmt w:val="lowerRoman"/>
      <w:lvlText w:val="(%4)"/>
      <w:lvlJc w:val="left"/>
      <w:pPr>
        <w:tabs>
          <w:tab w:val="num" w:pos="2880"/>
        </w:tabs>
        <w:ind w:left="2880" w:hanging="720"/>
      </w:pPr>
      <w:rPr>
        <w:rFonts w:hint="default"/>
      </w:rPr>
    </w:lvl>
    <w:lvl w:ilvl="4" w:tplc="280A0019" w:tentative="1">
      <w:start w:val="1"/>
      <w:numFmt w:val="lowerLetter"/>
      <w:lvlText w:val="%5."/>
      <w:lvlJc w:val="left"/>
      <w:pPr>
        <w:tabs>
          <w:tab w:val="num" w:pos="3240"/>
        </w:tabs>
        <w:ind w:left="3240" w:hanging="360"/>
      </w:pPr>
    </w:lvl>
    <w:lvl w:ilvl="5" w:tplc="280A001B" w:tentative="1">
      <w:start w:val="1"/>
      <w:numFmt w:val="lowerRoman"/>
      <w:lvlText w:val="%6."/>
      <w:lvlJc w:val="right"/>
      <w:pPr>
        <w:tabs>
          <w:tab w:val="num" w:pos="3960"/>
        </w:tabs>
        <w:ind w:left="3960" w:hanging="180"/>
      </w:pPr>
    </w:lvl>
    <w:lvl w:ilvl="6" w:tplc="280A000F" w:tentative="1">
      <w:start w:val="1"/>
      <w:numFmt w:val="decimal"/>
      <w:lvlText w:val="%7."/>
      <w:lvlJc w:val="left"/>
      <w:pPr>
        <w:tabs>
          <w:tab w:val="num" w:pos="4680"/>
        </w:tabs>
        <w:ind w:left="4680" w:hanging="360"/>
      </w:pPr>
    </w:lvl>
    <w:lvl w:ilvl="7" w:tplc="280A0019" w:tentative="1">
      <w:start w:val="1"/>
      <w:numFmt w:val="lowerLetter"/>
      <w:lvlText w:val="%8."/>
      <w:lvlJc w:val="left"/>
      <w:pPr>
        <w:tabs>
          <w:tab w:val="num" w:pos="5400"/>
        </w:tabs>
        <w:ind w:left="5400" w:hanging="360"/>
      </w:pPr>
    </w:lvl>
    <w:lvl w:ilvl="8" w:tplc="280A001B" w:tentative="1">
      <w:start w:val="1"/>
      <w:numFmt w:val="lowerRoman"/>
      <w:lvlText w:val="%9."/>
      <w:lvlJc w:val="right"/>
      <w:pPr>
        <w:tabs>
          <w:tab w:val="num" w:pos="6120"/>
        </w:tabs>
        <w:ind w:left="6120" w:hanging="180"/>
      </w:pPr>
    </w:lvl>
  </w:abstractNum>
  <w:abstractNum w:abstractNumId="6">
    <w:nsid w:val="138D2B9A"/>
    <w:multiLevelType w:val="hybridMultilevel"/>
    <w:tmpl w:val="DD6C16A8"/>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nsid w:val="18E52D9C"/>
    <w:multiLevelType w:val="hybridMultilevel"/>
    <w:tmpl w:val="82B61426"/>
    <w:lvl w:ilvl="0" w:tplc="FB12A0B4">
      <w:start w:val="5"/>
      <w:numFmt w:val="upperRoman"/>
      <w:lvlText w:val="%1."/>
      <w:lvlJc w:val="left"/>
      <w:pPr>
        <w:tabs>
          <w:tab w:val="num" w:pos="1080"/>
        </w:tabs>
        <w:ind w:left="1080" w:hanging="72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nsid w:val="192C5D0B"/>
    <w:multiLevelType w:val="hybridMultilevel"/>
    <w:tmpl w:val="F4563D02"/>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nsid w:val="1DC8263A"/>
    <w:multiLevelType w:val="multilevel"/>
    <w:tmpl w:val="51161C3C"/>
    <w:lvl w:ilvl="0">
      <w:start w:val="5"/>
      <w:numFmt w:val="decimal"/>
      <w:lvlText w:val="%1"/>
      <w:lvlJc w:val="left"/>
      <w:pPr>
        <w:ind w:left="480" w:hanging="480"/>
      </w:pPr>
      <w:rPr>
        <w:rFonts w:hint="default"/>
        <w:u w:val="single"/>
      </w:rPr>
    </w:lvl>
    <w:lvl w:ilvl="1">
      <w:start w:val="3"/>
      <w:numFmt w:val="decimal"/>
      <w:lvlText w:val="%1.%2"/>
      <w:lvlJc w:val="left"/>
      <w:pPr>
        <w:ind w:left="480" w:hanging="480"/>
      </w:pPr>
      <w:rPr>
        <w:rFonts w:hint="default"/>
        <w:u w:val="single"/>
      </w:rPr>
    </w:lvl>
    <w:lvl w:ilvl="2">
      <w:start w:val="2"/>
      <w:numFmt w:val="decimal"/>
      <w:lvlText w:val="%1.%2.%3"/>
      <w:lvlJc w:val="left"/>
      <w:pPr>
        <w:ind w:left="720" w:hanging="720"/>
      </w:pPr>
      <w:rPr>
        <w:rFonts w:hint="default"/>
        <w:u w:val="single"/>
      </w:rPr>
    </w:lvl>
    <w:lvl w:ilvl="3">
      <w:start w:val="1"/>
      <w:numFmt w:val="decimal"/>
      <w:lvlText w:val="%1.%2.%3.%4"/>
      <w:lvlJc w:val="left"/>
      <w:pPr>
        <w:ind w:left="720" w:hanging="720"/>
      </w:pPr>
      <w:rPr>
        <w:rFonts w:hint="default"/>
        <w:u w:val="single"/>
      </w:rPr>
    </w:lvl>
    <w:lvl w:ilvl="4">
      <w:start w:val="1"/>
      <w:numFmt w:val="decimal"/>
      <w:lvlText w:val="%1.%2.%3.%4.%5"/>
      <w:lvlJc w:val="left"/>
      <w:pPr>
        <w:ind w:left="1080" w:hanging="1080"/>
      </w:pPr>
      <w:rPr>
        <w:rFonts w:hint="default"/>
        <w:u w:val="single"/>
      </w:rPr>
    </w:lvl>
    <w:lvl w:ilvl="5">
      <w:start w:val="1"/>
      <w:numFmt w:val="decimal"/>
      <w:lvlText w:val="%1.%2.%3.%4.%5.%6"/>
      <w:lvlJc w:val="left"/>
      <w:pPr>
        <w:ind w:left="1080" w:hanging="1080"/>
      </w:pPr>
      <w:rPr>
        <w:rFonts w:hint="default"/>
        <w:u w:val="single"/>
      </w:rPr>
    </w:lvl>
    <w:lvl w:ilvl="6">
      <w:start w:val="1"/>
      <w:numFmt w:val="decimal"/>
      <w:lvlText w:val="%1.%2.%3.%4.%5.%6.%7"/>
      <w:lvlJc w:val="left"/>
      <w:pPr>
        <w:ind w:left="1440" w:hanging="1440"/>
      </w:pPr>
      <w:rPr>
        <w:rFonts w:hint="default"/>
        <w:u w:val="single"/>
      </w:rPr>
    </w:lvl>
    <w:lvl w:ilvl="7">
      <w:start w:val="1"/>
      <w:numFmt w:val="decimal"/>
      <w:lvlText w:val="%1.%2.%3.%4.%5.%6.%7.%8"/>
      <w:lvlJc w:val="left"/>
      <w:pPr>
        <w:ind w:left="1440" w:hanging="1440"/>
      </w:pPr>
      <w:rPr>
        <w:rFonts w:hint="default"/>
        <w:u w:val="single"/>
      </w:rPr>
    </w:lvl>
    <w:lvl w:ilvl="8">
      <w:start w:val="1"/>
      <w:numFmt w:val="decimal"/>
      <w:lvlText w:val="%1.%2.%3.%4.%5.%6.%7.%8.%9"/>
      <w:lvlJc w:val="left"/>
      <w:pPr>
        <w:ind w:left="1800" w:hanging="1800"/>
      </w:pPr>
      <w:rPr>
        <w:rFonts w:hint="default"/>
        <w:u w:val="single"/>
      </w:rPr>
    </w:lvl>
  </w:abstractNum>
  <w:abstractNum w:abstractNumId="10">
    <w:nsid w:val="1E7F21C0"/>
    <w:multiLevelType w:val="hybridMultilevel"/>
    <w:tmpl w:val="1F0800BC"/>
    <w:lvl w:ilvl="0" w:tplc="52865396">
      <w:start w:val="1"/>
      <w:numFmt w:val="upperRoman"/>
      <w:lvlText w:val="%1."/>
      <w:lvlJc w:val="left"/>
      <w:pPr>
        <w:ind w:left="1080" w:hanging="72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1">
    <w:nsid w:val="1FC02DC4"/>
    <w:multiLevelType w:val="multilevel"/>
    <w:tmpl w:val="DC1C98C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2">
    <w:nsid w:val="205067FD"/>
    <w:multiLevelType w:val="hybridMultilevel"/>
    <w:tmpl w:val="764CAC2E"/>
    <w:lvl w:ilvl="0" w:tplc="74A8C36C">
      <w:start w:val="1"/>
      <w:numFmt w:val="upperRoman"/>
      <w:lvlText w:val="%1."/>
      <w:lvlJc w:val="left"/>
      <w:pPr>
        <w:tabs>
          <w:tab w:val="num" w:pos="720"/>
        </w:tabs>
        <w:ind w:left="720" w:hanging="720"/>
      </w:pPr>
      <w:rPr>
        <w:rFonts w:hint="default"/>
      </w:rPr>
    </w:lvl>
    <w:lvl w:ilvl="1" w:tplc="0E24C5CE">
      <w:start w:val="4"/>
      <w:numFmt w:val="upperLetter"/>
      <w:lvlText w:val="%2."/>
      <w:lvlJc w:val="left"/>
      <w:pPr>
        <w:tabs>
          <w:tab w:val="num" w:pos="1080"/>
        </w:tabs>
        <w:ind w:left="1080" w:hanging="360"/>
      </w:pPr>
      <w:rPr>
        <w:rFonts w:hint="default"/>
      </w:rPr>
    </w:lvl>
    <w:lvl w:ilvl="2" w:tplc="280A001B" w:tentative="1">
      <w:start w:val="1"/>
      <w:numFmt w:val="lowerRoman"/>
      <w:lvlText w:val="%3."/>
      <w:lvlJc w:val="right"/>
      <w:pPr>
        <w:tabs>
          <w:tab w:val="num" w:pos="1800"/>
        </w:tabs>
        <w:ind w:left="1800" w:hanging="180"/>
      </w:pPr>
    </w:lvl>
    <w:lvl w:ilvl="3" w:tplc="280A000F" w:tentative="1">
      <w:start w:val="1"/>
      <w:numFmt w:val="decimal"/>
      <w:lvlText w:val="%4."/>
      <w:lvlJc w:val="left"/>
      <w:pPr>
        <w:tabs>
          <w:tab w:val="num" w:pos="2520"/>
        </w:tabs>
        <w:ind w:left="2520" w:hanging="360"/>
      </w:pPr>
    </w:lvl>
    <w:lvl w:ilvl="4" w:tplc="280A0019" w:tentative="1">
      <w:start w:val="1"/>
      <w:numFmt w:val="lowerLetter"/>
      <w:lvlText w:val="%5."/>
      <w:lvlJc w:val="left"/>
      <w:pPr>
        <w:tabs>
          <w:tab w:val="num" w:pos="3240"/>
        </w:tabs>
        <w:ind w:left="3240" w:hanging="360"/>
      </w:pPr>
    </w:lvl>
    <w:lvl w:ilvl="5" w:tplc="280A001B" w:tentative="1">
      <w:start w:val="1"/>
      <w:numFmt w:val="lowerRoman"/>
      <w:lvlText w:val="%6."/>
      <w:lvlJc w:val="right"/>
      <w:pPr>
        <w:tabs>
          <w:tab w:val="num" w:pos="3960"/>
        </w:tabs>
        <w:ind w:left="3960" w:hanging="180"/>
      </w:pPr>
    </w:lvl>
    <w:lvl w:ilvl="6" w:tplc="280A000F" w:tentative="1">
      <w:start w:val="1"/>
      <w:numFmt w:val="decimal"/>
      <w:lvlText w:val="%7."/>
      <w:lvlJc w:val="left"/>
      <w:pPr>
        <w:tabs>
          <w:tab w:val="num" w:pos="4680"/>
        </w:tabs>
        <w:ind w:left="4680" w:hanging="360"/>
      </w:pPr>
    </w:lvl>
    <w:lvl w:ilvl="7" w:tplc="280A0019" w:tentative="1">
      <w:start w:val="1"/>
      <w:numFmt w:val="lowerLetter"/>
      <w:lvlText w:val="%8."/>
      <w:lvlJc w:val="left"/>
      <w:pPr>
        <w:tabs>
          <w:tab w:val="num" w:pos="5400"/>
        </w:tabs>
        <w:ind w:left="5400" w:hanging="360"/>
      </w:pPr>
    </w:lvl>
    <w:lvl w:ilvl="8" w:tplc="280A001B" w:tentative="1">
      <w:start w:val="1"/>
      <w:numFmt w:val="lowerRoman"/>
      <w:lvlText w:val="%9."/>
      <w:lvlJc w:val="right"/>
      <w:pPr>
        <w:tabs>
          <w:tab w:val="num" w:pos="6120"/>
        </w:tabs>
        <w:ind w:left="6120" w:hanging="180"/>
      </w:pPr>
    </w:lvl>
  </w:abstractNum>
  <w:abstractNum w:abstractNumId="13">
    <w:nsid w:val="21FE5476"/>
    <w:multiLevelType w:val="hybridMultilevel"/>
    <w:tmpl w:val="E4F672D4"/>
    <w:lvl w:ilvl="0" w:tplc="AECEA33C">
      <w:start w:val="1"/>
      <w:numFmt w:val="decimal"/>
      <w:lvlText w:val="[%1]"/>
      <w:lvlJc w:val="left"/>
      <w:pPr>
        <w:ind w:left="360" w:hanging="360"/>
      </w:pPr>
      <w:rPr>
        <w:rFonts w:hint="default"/>
        <w:b w:val="0"/>
        <w:i w:val="0"/>
        <w:color w:val="auto"/>
        <w:sz w:val="20"/>
        <w:szCs w:val="20"/>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4">
    <w:nsid w:val="249118E1"/>
    <w:multiLevelType w:val="hybridMultilevel"/>
    <w:tmpl w:val="61A6B1DA"/>
    <w:lvl w:ilvl="0" w:tplc="0196290C">
      <w:start w:val="1"/>
      <w:numFmt w:val="upperRoman"/>
      <w:lvlText w:val="%1."/>
      <w:lvlJc w:val="left"/>
      <w:pPr>
        <w:tabs>
          <w:tab w:val="num" w:pos="1080"/>
        </w:tabs>
        <w:ind w:left="1080" w:hanging="720"/>
      </w:pPr>
      <w:rPr>
        <w:rFonts w:hint="default"/>
      </w:rPr>
    </w:lvl>
    <w:lvl w:ilvl="1" w:tplc="2FC4D5B8">
      <w:start w:val="1"/>
      <w:numFmt w:val="lowerRoman"/>
      <w:lvlText w:val="(%2)"/>
      <w:lvlJc w:val="left"/>
      <w:pPr>
        <w:tabs>
          <w:tab w:val="num" w:pos="1800"/>
        </w:tabs>
        <w:ind w:left="1800" w:hanging="720"/>
      </w:pPr>
      <w:rPr>
        <w:rFonts w:hint="default"/>
      </w:rPr>
    </w:lvl>
    <w:lvl w:ilvl="2" w:tplc="0C0A0001">
      <w:start w:val="1"/>
      <w:numFmt w:val="bullet"/>
      <w:lvlText w:val=""/>
      <w:lvlJc w:val="left"/>
      <w:pPr>
        <w:tabs>
          <w:tab w:val="num" w:pos="2340"/>
        </w:tabs>
        <w:ind w:left="2340" w:hanging="360"/>
      </w:pPr>
      <w:rPr>
        <w:rFonts w:ascii="Symbol" w:hAnsi="Symbol" w:hint="default"/>
      </w:r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5">
    <w:nsid w:val="2759467E"/>
    <w:multiLevelType w:val="hybridMultilevel"/>
    <w:tmpl w:val="4B206598"/>
    <w:lvl w:ilvl="0" w:tplc="1C8ECF96">
      <w:start w:val="1"/>
      <w:numFmt w:val="upperLetter"/>
      <w:lvlText w:val="%1."/>
      <w:lvlJc w:val="left"/>
      <w:pPr>
        <w:ind w:left="348" w:hanging="360"/>
      </w:pPr>
      <w:rPr>
        <w:rFonts w:hint="default"/>
      </w:rPr>
    </w:lvl>
    <w:lvl w:ilvl="1" w:tplc="280A0019" w:tentative="1">
      <w:start w:val="1"/>
      <w:numFmt w:val="lowerLetter"/>
      <w:lvlText w:val="%2."/>
      <w:lvlJc w:val="left"/>
      <w:pPr>
        <w:ind w:left="1068" w:hanging="360"/>
      </w:pPr>
    </w:lvl>
    <w:lvl w:ilvl="2" w:tplc="280A001B" w:tentative="1">
      <w:start w:val="1"/>
      <w:numFmt w:val="lowerRoman"/>
      <w:lvlText w:val="%3."/>
      <w:lvlJc w:val="right"/>
      <w:pPr>
        <w:ind w:left="1788" w:hanging="180"/>
      </w:pPr>
    </w:lvl>
    <w:lvl w:ilvl="3" w:tplc="280A000F" w:tentative="1">
      <w:start w:val="1"/>
      <w:numFmt w:val="decimal"/>
      <w:lvlText w:val="%4."/>
      <w:lvlJc w:val="left"/>
      <w:pPr>
        <w:ind w:left="2508" w:hanging="360"/>
      </w:pPr>
    </w:lvl>
    <w:lvl w:ilvl="4" w:tplc="280A0019" w:tentative="1">
      <w:start w:val="1"/>
      <w:numFmt w:val="lowerLetter"/>
      <w:lvlText w:val="%5."/>
      <w:lvlJc w:val="left"/>
      <w:pPr>
        <w:ind w:left="3228" w:hanging="360"/>
      </w:pPr>
    </w:lvl>
    <w:lvl w:ilvl="5" w:tplc="280A001B" w:tentative="1">
      <w:start w:val="1"/>
      <w:numFmt w:val="lowerRoman"/>
      <w:lvlText w:val="%6."/>
      <w:lvlJc w:val="right"/>
      <w:pPr>
        <w:ind w:left="3948" w:hanging="180"/>
      </w:pPr>
    </w:lvl>
    <w:lvl w:ilvl="6" w:tplc="280A000F" w:tentative="1">
      <w:start w:val="1"/>
      <w:numFmt w:val="decimal"/>
      <w:lvlText w:val="%7."/>
      <w:lvlJc w:val="left"/>
      <w:pPr>
        <w:ind w:left="4668" w:hanging="360"/>
      </w:pPr>
    </w:lvl>
    <w:lvl w:ilvl="7" w:tplc="280A0019" w:tentative="1">
      <w:start w:val="1"/>
      <w:numFmt w:val="lowerLetter"/>
      <w:lvlText w:val="%8."/>
      <w:lvlJc w:val="left"/>
      <w:pPr>
        <w:ind w:left="5388" w:hanging="360"/>
      </w:pPr>
    </w:lvl>
    <w:lvl w:ilvl="8" w:tplc="280A001B" w:tentative="1">
      <w:start w:val="1"/>
      <w:numFmt w:val="lowerRoman"/>
      <w:lvlText w:val="%9."/>
      <w:lvlJc w:val="right"/>
      <w:pPr>
        <w:ind w:left="6108" w:hanging="180"/>
      </w:pPr>
    </w:lvl>
  </w:abstractNum>
  <w:abstractNum w:abstractNumId="16">
    <w:nsid w:val="2D7944A5"/>
    <w:multiLevelType w:val="hybridMultilevel"/>
    <w:tmpl w:val="131EDAEC"/>
    <w:lvl w:ilvl="0" w:tplc="280A000F">
      <w:start w:val="1"/>
      <w:numFmt w:val="decimal"/>
      <w:lvlText w:val="%1."/>
      <w:lvlJc w:val="left"/>
      <w:pPr>
        <w:ind w:left="2063" w:hanging="360"/>
      </w:pPr>
      <w:rPr>
        <w:rFonts w:hint="default"/>
      </w:rPr>
    </w:lvl>
    <w:lvl w:ilvl="1" w:tplc="280A0019">
      <w:start w:val="1"/>
      <w:numFmt w:val="lowerLetter"/>
      <w:lvlText w:val="%2."/>
      <w:lvlJc w:val="left"/>
      <w:pPr>
        <w:ind w:left="2783" w:hanging="360"/>
      </w:pPr>
    </w:lvl>
    <w:lvl w:ilvl="2" w:tplc="280A001B" w:tentative="1">
      <w:start w:val="1"/>
      <w:numFmt w:val="lowerRoman"/>
      <w:lvlText w:val="%3."/>
      <w:lvlJc w:val="right"/>
      <w:pPr>
        <w:ind w:left="3503" w:hanging="180"/>
      </w:pPr>
    </w:lvl>
    <w:lvl w:ilvl="3" w:tplc="280A000F" w:tentative="1">
      <w:start w:val="1"/>
      <w:numFmt w:val="decimal"/>
      <w:lvlText w:val="%4."/>
      <w:lvlJc w:val="left"/>
      <w:pPr>
        <w:ind w:left="4223" w:hanging="360"/>
      </w:pPr>
    </w:lvl>
    <w:lvl w:ilvl="4" w:tplc="280A0019" w:tentative="1">
      <w:start w:val="1"/>
      <w:numFmt w:val="lowerLetter"/>
      <w:lvlText w:val="%5."/>
      <w:lvlJc w:val="left"/>
      <w:pPr>
        <w:ind w:left="4943" w:hanging="360"/>
      </w:pPr>
    </w:lvl>
    <w:lvl w:ilvl="5" w:tplc="280A001B" w:tentative="1">
      <w:start w:val="1"/>
      <w:numFmt w:val="lowerRoman"/>
      <w:lvlText w:val="%6."/>
      <w:lvlJc w:val="right"/>
      <w:pPr>
        <w:ind w:left="5663" w:hanging="180"/>
      </w:pPr>
    </w:lvl>
    <w:lvl w:ilvl="6" w:tplc="280A000F" w:tentative="1">
      <w:start w:val="1"/>
      <w:numFmt w:val="decimal"/>
      <w:lvlText w:val="%7."/>
      <w:lvlJc w:val="left"/>
      <w:pPr>
        <w:ind w:left="6383" w:hanging="360"/>
      </w:pPr>
    </w:lvl>
    <w:lvl w:ilvl="7" w:tplc="280A0019" w:tentative="1">
      <w:start w:val="1"/>
      <w:numFmt w:val="lowerLetter"/>
      <w:lvlText w:val="%8."/>
      <w:lvlJc w:val="left"/>
      <w:pPr>
        <w:ind w:left="7103" w:hanging="360"/>
      </w:pPr>
    </w:lvl>
    <w:lvl w:ilvl="8" w:tplc="280A001B" w:tentative="1">
      <w:start w:val="1"/>
      <w:numFmt w:val="lowerRoman"/>
      <w:lvlText w:val="%9."/>
      <w:lvlJc w:val="right"/>
      <w:pPr>
        <w:ind w:left="7823" w:hanging="180"/>
      </w:pPr>
    </w:lvl>
  </w:abstractNum>
  <w:abstractNum w:abstractNumId="17">
    <w:nsid w:val="2D9732A8"/>
    <w:multiLevelType w:val="multilevel"/>
    <w:tmpl w:val="1EE82B46"/>
    <w:lvl w:ilvl="0">
      <w:start w:val="1"/>
      <w:numFmt w:val="decimal"/>
      <w:lvlText w:val="%1."/>
      <w:lvlJc w:val="left"/>
      <w:pPr>
        <w:ind w:left="900" w:hanging="360"/>
      </w:pPr>
      <w:rPr>
        <w:rFonts w:ascii="Arial" w:eastAsia="Times New Roman" w:hAnsi="Arial" w:cs="Arial"/>
      </w:rPr>
    </w:lvl>
    <w:lvl w:ilvl="1">
      <w:start w:val="1"/>
      <w:numFmt w:val="lowerLetter"/>
      <w:lvlText w:val="%2."/>
      <w:lvlJc w:val="left"/>
      <w:pPr>
        <w:ind w:left="1620" w:hanging="360"/>
      </w:pPr>
      <w:rPr>
        <w:rFonts w:cs="Times New Roman"/>
      </w:rPr>
    </w:lvl>
    <w:lvl w:ilvl="2">
      <w:start w:val="1"/>
      <w:numFmt w:val="lowerRoman"/>
      <w:lvlText w:val="%3."/>
      <w:lvlJc w:val="right"/>
      <w:pPr>
        <w:ind w:left="2340" w:hanging="180"/>
      </w:pPr>
      <w:rPr>
        <w:rFonts w:cs="Times New Roman"/>
      </w:rPr>
    </w:lvl>
    <w:lvl w:ilvl="3">
      <w:start w:val="1"/>
      <w:numFmt w:val="decimal"/>
      <w:lvlText w:val="%4."/>
      <w:lvlJc w:val="left"/>
      <w:pPr>
        <w:ind w:left="3060" w:hanging="360"/>
      </w:pPr>
      <w:rPr>
        <w:rFonts w:cs="Times New Roman"/>
      </w:rPr>
    </w:lvl>
    <w:lvl w:ilvl="4">
      <w:start w:val="1"/>
      <w:numFmt w:val="lowerLetter"/>
      <w:lvlText w:val="%5."/>
      <w:lvlJc w:val="left"/>
      <w:pPr>
        <w:ind w:left="3780" w:hanging="360"/>
      </w:pPr>
      <w:rPr>
        <w:rFonts w:cs="Times New Roman"/>
      </w:rPr>
    </w:lvl>
    <w:lvl w:ilvl="5">
      <w:start w:val="1"/>
      <w:numFmt w:val="lowerRoman"/>
      <w:lvlText w:val="%6."/>
      <w:lvlJc w:val="right"/>
      <w:pPr>
        <w:ind w:left="4500" w:hanging="180"/>
      </w:pPr>
      <w:rPr>
        <w:rFonts w:cs="Times New Roman"/>
      </w:rPr>
    </w:lvl>
    <w:lvl w:ilvl="6">
      <w:start w:val="1"/>
      <w:numFmt w:val="decimal"/>
      <w:lvlText w:val="%7."/>
      <w:lvlJc w:val="left"/>
      <w:pPr>
        <w:ind w:left="5220" w:hanging="360"/>
      </w:pPr>
      <w:rPr>
        <w:rFonts w:cs="Times New Roman"/>
      </w:rPr>
    </w:lvl>
    <w:lvl w:ilvl="7">
      <w:start w:val="1"/>
      <w:numFmt w:val="lowerLetter"/>
      <w:lvlText w:val="%8."/>
      <w:lvlJc w:val="left"/>
      <w:pPr>
        <w:ind w:left="5940" w:hanging="360"/>
      </w:pPr>
      <w:rPr>
        <w:rFonts w:cs="Times New Roman"/>
      </w:rPr>
    </w:lvl>
    <w:lvl w:ilvl="8">
      <w:start w:val="1"/>
      <w:numFmt w:val="lowerRoman"/>
      <w:lvlText w:val="%9."/>
      <w:lvlJc w:val="right"/>
      <w:pPr>
        <w:ind w:left="6660" w:hanging="180"/>
      </w:pPr>
      <w:rPr>
        <w:rFonts w:cs="Times New Roman"/>
      </w:rPr>
    </w:lvl>
  </w:abstractNum>
  <w:abstractNum w:abstractNumId="18">
    <w:nsid w:val="2DA30FE5"/>
    <w:multiLevelType w:val="hybridMultilevel"/>
    <w:tmpl w:val="A0DC9262"/>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9">
    <w:nsid w:val="316F25B7"/>
    <w:multiLevelType w:val="hybridMultilevel"/>
    <w:tmpl w:val="D4AA03BE"/>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0">
    <w:nsid w:val="3236730C"/>
    <w:multiLevelType w:val="hybridMultilevel"/>
    <w:tmpl w:val="78D023FE"/>
    <w:lvl w:ilvl="0" w:tplc="CADE3700">
      <w:start w:val="1"/>
      <w:numFmt w:val="upperRoman"/>
      <w:lvlText w:val="(%1)"/>
      <w:lvlJc w:val="left"/>
      <w:pPr>
        <w:ind w:left="1080" w:hanging="720"/>
      </w:pPr>
      <w:rPr>
        <w:rFonts w:cs="Arial"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1">
    <w:nsid w:val="363C6AB7"/>
    <w:multiLevelType w:val="multilevel"/>
    <w:tmpl w:val="6D34E26C"/>
    <w:lvl w:ilvl="0">
      <w:start w:val="5"/>
      <w:numFmt w:val="decimal"/>
      <w:lvlText w:val="%1"/>
      <w:lvlJc w:val="left"/>
      <w:pPr>
        <w:ind w:left="480" w:hanging="480"/>
      </w:pPr>
      <w:rPr>
        <w:rFonts w:hint="default"/>
      </w:rPr>
    </w:lvl>
    <w:lvl w:ilvl="1">
      <w:start w:val="3"/>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39EF429F"/>
    <w:multiLevelType w:val="hybridMultilevel"/>
    <w:tmpl w:val="6E9CBBC6"/>
    <w:lvl w:ilvl="0" w:tplc="3FF4FE90">
      <w:start w:val="1"/>
      <w:numFmt w:val="lowerLetter"/>
      <w:lvlText w:val="%1)"/>
      <w:lvlJc w:val="left"/>
      <w:pPr>
        <w:tabs>
          <w:tab w:val="num" w:pos="899"/>
        </w:tabs>
        <w:ind w:left="899" w:hanging="360"/>
      </w:pPr>
      <w:rPr>
        <w:rFonts w:hint="default"/>
      </w:rPr>
    </w:lvl>
    <w:lvl w:ilvl="1" w:tplc="0C0A0019" w:tentative="1">
      <w:start w:val="1"/>
      <w:numFmt w:val="lowerLetter"/>
      <w:lvlText w:val="%2."/>
      <w:lvlJc w:val="left"/>
      <w:pPr>
        <w:tabs>
          <w:tab w:val="num" w:pos="1619"/>
        </w:tabs>
        <w:ind w:left="1619" w:hanging="360"/>
      </w:pPr>
    </w:lvl>
    <w:lvl w:ilvl="2" w:tplc="0C0A001B" w:tentative="1">
      <w:start w:val="1"/>
      <w:numFmt w:val="lowerRoman"/>
      <w:lvlText w:val="%3."/>
      <w:lvlJc w:val="right"/>
      <w:pPr>
        <w:tabs>
          <w:tab w:val="num" w:pos="2339"/>
        </w:tabs>
        <w:ind w:left="2339" w:hanging="180"/>
      </w:pPr>
    </w:lvl>
    <w:lvl w:ilvl="3" w:tplc="0C0A000F" w:tentative="1">
      <w:start w:val="1"/>
      <w:numFmt w:val="decimal"/>
      <w:lvlText w:val="%4."/>
      <w:lvlJc w:val="left"/>
      <w:pPr>
        <w:tabs>
          <w:tab w:val="num" w:pos="3059"/>
        </w:tabs>
        <w:ind w:left="3059" w:hanging="360"/>
      </w:pPr>
    </w:lvl>
    <w:lvl w:ilvl="4" w:tplc="0C0A0019" w:tentative="1">
      <w:start w:val="1"/>
      <w:numFmt w:val="lowerLetter"/>
      <w:lvlText w:val="%5."/>
      <w:lvlJc w:val="left"/>
      <w:pPr>
        <w:tabs>
          <w:tab w:val="num" w:pos="3779"/>
        </w:tabs>
        <w:ind w:left="3779" w:hanging="360"/>
      </w:pPr>
    </w:lvl>
    <w:lvl w:ilvl="5" w:tplc="0C0A001B" w:tentative="1">
      <w:start w:val="1"/>
      <w:numFmt w:val="lowerRoman"/>
      <w:lvlText w:val="%6."/>
      <w:lvlJc w:val="right"/>
      <w:pPr>
        <w:tabs>
          <w:tab w:val="num" w:pos="4499"/>
        </w:tabs>
        <w:ind w:left="4499" w:hanging="180"/>
      </w:pPr>
    </w:lvl>
    <w:lvl w:ilvl="6" w:tplc="0C0A000F" w:tentative="1">
      <w:start w:val="1"/>
      <w:numFmt w:val="decimal"/>
      <w:lvlText w:val="%7."/>
      <w:lvlJc w:val="left"/>
      <w:pPr>
        <w:tabs>
          <w:tab w:val="num" w:pos="5219"/>
        </w:tabs>
        <w:ind w:left="5219" w:hanging="360"/>
      </w:pPr>
    </w:lvl>
    <w:lvl w:ilvl="7" w:tplc="0C0A0019" w:tentative="1">
      <w:start w:val="1"/>
      <w:numFmt w:val="lowerLetter"/>
      <w:lvlText w:val="%8."/>
      <w:lvlJc w:val="left"/>
      <w:pPr>
        <w:tabs>
          <w:tab w:val="num" w:pos="5939"/>
        </w:tabs>
        <w:ind w:left="5939" w:hanging="360"/>
      </w:pPr>
    </w:lvl>
    <w:lvl w:ilvl="8" w:tplc="0C0A001B" w:tentative="1">
      <w:start w:val="1"/>
      <w:numFmt w:val="lowerRoman"/>
      <w:lvlText w:val="%9."/>
      <w:lvlJc w:val="right"/>
      <w:pPr>
        <w:tabs>
          <w:tab w:val="num" w:pos="6659"/>
        </w:tabs>
        <w:ind w:left="6659" w:hanging="180"/>
      </w:pPr>
    </w:lvl>
  </w:abstractNum>
  <w:abstractNum w:abstractNumId="23">
    <w:nsid w:val="40A366BC"/>
    <w:multiLevelType w:val="hybridMultilevel"/>
    <w:tmpl w:val="2A62391E"/>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4">
    <w:nsid w:val="420B6AAF"/>
    <w:multiLevelType w:val="hybridMultilevel"/>
    <w:tmpl w:val="B8FE67D6"/>
    <w:lvl w:ilvl="0" w:tplc="56B23BBC">
      <w:start w:val="1"/>
      <w:numFmt w:val="lowerRoman"/>
      <w:lvlText w:val="(%1)"/>
      <w:lvlJc w:val="left"/>
      <w:pPr>
        <w:tabs>
          <w:tab w:val="num" w:pos="1080"/>
        </w:tabs>
        <w:ind w:left="1080" w:hanging="720"/>
      </w:pPr>
      <w:rPr>
        <w:rFonts w:hint="default"/>
      </w:rPr>
    </w:lvl>
    <w:lvl w:ilvl="1" w:tplc="04881E04">
      <w:start w:val="1"/>
      <w:numFmt w:val="lowerLetter"/>
      <w:lvlText w:val="%2)"/>
      <w:lvlJc w:val="left"/>
      <w:pPr>
        <w:tabs>
          <w:tab w:val="num" w:pos="1440"/>
        </w:tabs>
        <w:ind w:left="1440" w:hanging="360"/>
      </w:pPr>
      <w:rPr>
        <w:rFonts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5">
    <w:nsid w:val="434D23D4"/>
    <w:multiLevelType w:val="hybridMultilevel"/>
    <w:tmpl w:val="400A203A"/>
    <w:lvl w:ilvl="0" w:tplc="AFF4B092">
      <w:start w:val="1"/>
      <w:numFmt w:val="upperRoman"/>
      <w:lvlText w:val="%1."/>
      <w:lvlJc w:val="left"/>
      <w:pPr>
        <w:tabs>
          <w:tab w:val="num" w:pos="1080"/>
        </w:tabs>
        <w:ind w:left="1080" w:hanging="72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6">
    <w:nsid w:val="436B1794"/>
    <w:multiLevelType w:val="hybridMultilevel"/>
    <w:tmpl w:val="6EDA3F5A"/>
    <w:lvl w:ilvl="0" w:tplc="DC82FEE4">
      <w:start w:val="1"/>
      <w:numFmt w:val="lowerLetter"/>
      <w:lvlText w:val="%1)"/>
      <w:lvlJc w:val="left"/>
      <w:pPr>
        <w:tabs>
          <w:tab w:val="num" w:pos="785"/>
        </w:tabs>
        <w:ind w:left="785" w:hanging="360"/>
      </w:pPr>
      <w:rPr>
        <w:rFonts w:hint="default"/>
      </w:rPr>
    </w:lvl>
    <w:lvl w:ilvl="1" w:tplc="0C0A0011">
      <w:start w:val="1"/>
      <w:numFmt w:val="decimal"/>
      <w:lvlText w:val="%2)"/>
      <w:lvlJc w:val="left"/>
      <w:pPr>
        <w:tabs>
          <w:tab w:val="num" w:pos="1505"/>
        </w:tabs>
        <w:ind w:left="1505" w:hanging="360"/>
      </w:pPr>
      <w:rPr>
        <w:rFonts w:hint="default"/>
      </w:rPr>
    </w:lvl>
    <w:lvl w:ilvl="2" w:tplc="280A001B">
      <w:start w:val="1"/>
      <w:numFmt w:val="lowerRoman"/>
      <w:lvlText w:val="%3."/>
      <w:lvlJc w:val="right"/>
      <w:pPr>
        <w:tabs>
          <w:tab w:val="num" w:pos="2225"/>
        </w:tabs>
        <w:ind w:left="2225" w:hanging="180"/>
      </w:pPr>
    </w:lvl>
    <w:lvl w:ilvl="3" w:tplc="FD8C8618">
      <w:start w:val="1"/>
      <w:numFmt w:val="decimal"/>
      <w:lvlText w:val="%4)"/>
      <w:lvlJc w:val="left"/>
      <w:pPr>
        <w:tabs>
          <w:tab w:val="num" w:pos="2945"/>
        </w:tabs>
        <w:ind w:left="2945" w:hanging="360"/>
      </w:pPr>
      <w:rPr>
        <w:rFonts w:hint="default"/>
      </w:rPr>
    </w:lvl>
    <w:lvl w:ilvl="4" w:tplc="51405F04">
      <w:start w:val="5"/>
      <w:numFmt w:val="upperRoman"/>
      <w:lvlText w:val="%5."/>
      <w:lvlJc w:val="left"/>
      <w:pPr>
        <w:tabs>
          <w:tab w:val="num" w:pos="4025"/>
        </w:tabs>
        <w:ind w:left="4025" w:hanging="720"/>
      </w:pPr>
      <w:rPr>
        <w:rFonts w:hint="default"/>
      </w:rPr>
    </w:lvl>
    <w:lvl w:ilvl="5" w:tplc="A94666A2">
      <w:start w:val="1"/>
      <w:numFmt w:val="upperLetter"/>
      <w:lvlText w:val="%6."/>
      <w:lvlJc w:val="left"/>
      <w:pPr>
        <w:tabs>
          <w:tab w:val="num" w:pos="4565"/>
        </w:tabs>
        <w:ind w:left="4565" w:hanging="360"/>
      </w:pPr>
      <w:rPr>
        <w:rFonts w:hint="default"/>
      </w:rPr>
    </w:lvl>
    <w:lvl w:ilvl="6" w:tplc="280A000F" w:tentative="1">
      <w:start w:val="1"/>
      <w:numFmt w:val="decimal"/>
      <w:lvlText w:val="%7."/>
      <w:lvlJc w:val="left"/>
      <w:pPr>
        <w:tabs>
          <w:tab w:val="num" w:pos="5105"/>
        </w:tabs>
        <w:ind w:left="5105" w:hanging="360"/>
      </w:pPr>
    </w:lvl>
    <w:lvl w:ilvl="7" w:tplc="280A0019" w:tentative="1">
      <w:start w:val="1"/>
      <w:numFmt w:val="lowerLetter"/>
      <w:lvlText w:val="%8."/>
      <w:lvlJc w:val="left"/>
      <w:pPr>
        <w:tabs>
          <w:tab w:val="num" w:pos="5825"/>
        </w:tabs>
        <w:ind w:left="5825" w:hanging="360"/>
      </w:pPr>
    </w:lvl>
    <w:lvl w:ilvl="8" w:tplc="280A001B" w:tentative="1">
      <w:start w:val="1"/>
      <w:numFmt w:val="lowerRoman"/>
      <w:lvlText w:val="%9."/>
      <w:lvlJc w:val="right"/>
      <w:pPr>
        <w:tabs>
          <w:tab w:val="num" w:pos="6545"/>
        </w:tabs>
        <w:ind w:left="6545" w:hanging="180"/>
      </w:pPr>
    </w:lvl>
  </w:abstractNum>
  <w:abstractNum w:abstractNumId="27">
    <w:nsid w:val="444376EC"/>
    <w:multiLevelType w:val="hybridMultilevel"/>
    <w:tmpl w:val="65167722"/>
    <w:lvl w:ilvl="0" w:tplc="7C1A7E00">
      <w:start w:val="1"/>
      <w:numFmt w:val="lowerRoman"/>
      <w:lvlText w:val="(%1)"/>
      <w:lvlJc w:val="left"/>
      <w:pPr>
        <w:ind w:left="1080" w:hanging="720"/>
      </w:pPr>
      <w:rPr>
        <w:rFonts w:cs="Arial"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8">
    <w:nsid w:val="45F350A9"/>
    <w:multiLevelType w:val="hybridMultilevel"/>
    <w:tmpl w:val="048E0154"/>
    <w:lvl w:ilvl="0" w:tplc="0C0A0019">
      <w:start w:val="1"/>
      <w:numFmt w:val="lowerLetter"/>
      <w:lvlText w:val="%1."/>
      <w:lvlJc w:val="left"/>
      <w:pPr>
        <w:tabs>
          <w:tab w:val="num" w:pos="900"/>
        </w:tabs>
        <w:ind w:left="900" w:hanging="360"/>
      </w:pPr>
    </w:lvl>
    <w:lvl w:ilvl="1" w:tplc="04160019">
      <w:start w:val="1"/>
      <w:numFmt w:val="lowerLetter"/>
      <w:lvlText w:val="%2."/>
      <w:lvlJc w:val="left"/>
      <w:pPr>
        <w:ind w:left="1620" w:hanging="360"/>
      </w:pPr>
      <w:rPr>
        <w:rFonts w:cs="Times New Roman"/>
      </w:rPr>
    </w:lvl>
    <w:lvl w:ilvl="2" w:tplc="0416001B">
      <w:start w:val="1"/>
      <w:numFmt w:val="lowerRoman"/>
      <w:lvlText w:val="%3."/>
      <w:lvlJc w:val="right"/>
      <w:pPr>
        <w:ind w:left="2340" w:hanging="180"/>
      </w:pPr>
      <w:rPr>
        <w:rFonts w:cs="Times New Roman"/>
      </w:rPr>
    </w:lvl>
    <w:lvl w:ilvl="3" w:tplc="0416000F">
      <w:start w:val="1"/>
      <w:numFmt w:val="decimal"/>
      <w:lvlText w:val="%4."/>
      <w:lvlJc w:val="left"/>
      <w:pPr>
        <w:ind w:left="3060" w:hanging="360"/>
      </w:pPr>
      <w:rPr>
        <w:rFonts w:cs="Times New Roman"/>
      </w:rPr>
    </w:lvl>
    <w:lvl w:ilvl="4" w:tplc="04160019">
      <w:start w:val="1"/>
      <w:numFmt w:val="lowerLetter"/>
      <w:lvlText w:val="%5."/>
      <w:lvlJc w:val="left"/>
      <w:pPr>
        <w:ind w:left="3780" w:hanging="360"/>
      </w:pPr>
      <w:rPr>
        <w:rFonts w:cs="Times New Roman"/>
      </w:rPr>
    </w:lvl>
    <w:lvl w:ilvl="5" w:tplc="0416001B">
      <w:start w:val="1"/>
      <w:numFmt w:val="lowerRoman"/>
      <w:lvlText w:val="%6."/>
      <w:lvlJc w:val="right"/>
      <w:pPr>
        <w:ind w:left="4500" w:hanging="180"/>
      </w:pPr>
      <w:rPr>
        <w:rFonts w:cs="Times New Roman"/>
      </w:rPr>
    </w:lvl>
    <w:lvl w:ilvl="6" w:tplc="0416000F">
      <w:start w:val="1"/>
      <w:numFmt w:val="decimal"/>
      <w:lvlText w:val="%7."/>
      <w:lvlJc w:val="left"/>
      <w:pPr>
        <w:ind w:left="5220" w:hanging="360"/>
      </w:pPr>
      <w:rPr>
        <w:rFonts w:cs="Times New Roman"/>
      </w:rPr>
    </w:lvl>
    <w:lvl w:ilvl="7" w:tplc="04160019">
      <w:start w:val="1"/>
      <w:numFmt w:val="lowerLetter"/>
      <w:lvlText w:val="%8."/>
      <w:lvlJc w:val="left"/>
      <w:pPr>
        <w:ind w:left="5940" w:hanging="360"/>
      </w:pPr>
      <w:rPr>
        <w:rFonts w:cs="Times New Roman"/>
      </w:rPr>
    </w:lvl>
    <w:lvl w:ilvl="8" w:tplc="0416001B">
      <w:start w:val="1"/>
      <w:numFmt w:val="lowerRoman"/>
      <w:lvlText w:val="%9."/>
      <w:lvlJc w:val="right"/>
      <w:pPr>
        <w:ind w:left="6660" w:hanging="180"/>
      </w:pPr>
      <w:rPr>
        <w:rFonts w:cs="Times New Roman"/>
      </w:rPr>
    </w:lvl>
  </w:abstractNum>
  <w:abstractNum w:abstractNumId="29">
    <w:nsid w:val="492B4A0B"/>
    <w:multiLevelType w:val="hybridMultilevel"/>
    <w:tmpl w:val="07827ABA"/>
    <w:lvl w:ilvl="0" w:tplc="546ABE06">
      <w:start w:val="1"/>
      <w:numFmt w:val="decimal"/>
      <w:lvlText w:val="[%1]"/>
      <w:lvlJc w:val="left"/>
      <w:pPr>
        <w:ind w:left="720" w:hanging="360"/>
      </w:pPr>
      <w:rPr>
        <w:rFonts w:hint="default"/>
        <w:b w:val="0"/>
        <w:i w:val="0"/>
        <w:color w:val="auto"/>
        <w:sz w:val="16"/>
        <w:szCs w:val="16"/>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0">
    <w:nsid w:val="4FAC2EF2"/>
    <w:multiLevelType w:val="hybridMultilevel"/>
    <w:tmpl w:val="6F4EA0D6"/>
    <w:lvl w:ilvl="0" w:tplc="9B8271AA">
      <w:start w:val="1"/>
      <w:numFmt w:val="bullet"/>
      <w:lvlText w:val="-"/>
      <w:lvlJc w:val="left"/>
      <w:pPr>
        <w:ind w:left="720" w:hanging="360"/>
      </w:pPr>
      <w:rPr>
        <w:rFonts w:ascii="Times New Roman" w:hAnsi="Times New Roman"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1">
    <w:nsid w:val="4FD2028C"/>
    <w:multiLevelType w:val="multilevel"/>
    <w:tmpl w:val="E5F46C4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nsid w:val="514172FB"/>
    <w:multiLevelType w:val="multilevel"/>
    <w:tmpl w:val="19E0F8F6"/>
    <w:lvl w:ilvl="0">
      <w:start w:val="4"/>
      <w:numFmt w:val="decimal"/>
      <w:lvlText w:val="%1."/>
      <w:lvlJc w:val="left"/>
      <w:pPr>
        <w:tabs>
          <w:tab w:val="num" w:pos="390"/>
        </w:tabs>
        <w:ind w:left="390" w:hanging="390"/>
      </w:pPr>
      <w:rPr>
        <w:rFonts w:hint="default"/>
        <w:sz w:val="24"/>
      </w:rPr>
    </w:lvl>
    <w:lvl w:ilvl="1">
      <w:start w:val="1"/>
      <w:numFmt w:val="decimal"/>
      <w:lvlText w:val="%1.%2."/>
      <w:lvlJc w:val="left"/>
      <w:pPr>
        <w:tabs>
          <w:tab w:val="num" w:pos="720"/>
        </w:tabs>
        <w:ind w:left="720" w:hanging="720"/>
      </w:pPr>
      <w:rPr>
        <w:rFonts w:hint="default"/>
        <w:sz w:val="24"/>
      </w:rPr>
    </w:lvl>
    <w:lvl w:ilvl="2">
      <w:start w:val="1"/>
      <w:numFmt w:val="decimal"/>
      <w:lvlText w:val="%1.%2.%3."/>
      <w:lvlJc w:val="left"/>
      <w:pPr>
        <w:tabs>
          <w:tab w:val="num" w:pos="720"/>
        </w:tabs>
        <w:ind w:left="720" w:hanging="720"/>
      </w:pPr>
      <w:rPr>
        <w:rFonts w:hint="default"/>
        <w:sz w:val="24"/>
      </w:rPr>
    </w:lvl>
    <w:lvl w:ilvl="3">
      <w:start w:val="1"/>
      <w:numFmt w:val="decimal"/>
      <w:lvlText w:val="%1.%2.%3.%4."/>
      <w:lvlJc w:val="left"/>
      <w:pPr>
        <w:tabs>
          <w:tab w:val="num" w:pos="1080"/>
        </w:tabs>
        <w:ind w:left="1080" w:hanging="1080"/>
      </w:pPr>
      <w:rPr>
        <w:rFonts w:hint="default"/>
        <w:sz w:val="24"/>
      </w:rPr>
    </w:lvl>
    <w:lvl w:ilvl="4">
      <w:start w:val="1"/>
      <w:numFmt w:val="decimal"/>
      <w:lvlText w:val="%1.%2.%3.%4.%5."/>
      <w:lvlJc w:val="left"/>
      <w:pPr>
        <w:tabs>
          <w:tab w:val="num" w:pos="1080"/>
        </w:tabs>
        <w:ind w:left="1080" w:hanging="1080"/>
      </w:pPr>
      <w:rPr>
        <w:rFonts w:hint="default"/>
        <w:sz w:val="24"/>
      </w:rPr>
    </w:lvl>
    <w:lvl w:ilvl="5">
      <w:start w:val="1"/>
      <w:numFmt w:val="decimal"/>
      <w:lvlText w:val="%1.%2.%3.%4.%5.%6."/>
      <w:lvlJc w:val="left"/>
      <w:pPr>
        <w:tabs>
          <w:tab w:val="num" w:pos="1440"/>
        </w:tabs>
        <w:ind w:left="1440" w:hanging="1440"/>
      </w:pPr>
      <w:rPr>
        <w:rFonts w:hint="default"/>
        <w:sz w:val="24"/>
      </w:rPr>
    </w:lvl>
    <w:lvl w:ilvl="6">
      <w:start w:val="1"/>
      <w:numFmt w:val="decimal"/>
      <w:lvlText w:val="%1.%2.%3.%4.%5.%6.%7."/>
      <w:lvlJc w:val="left"/>
      <w:pPr>
        <w:tabs>
          <w:tab w:val="num" w:pos="1440"/>
        </w:tabs>
        <w:ind w:left="1440" w:hanging="1440"/>
      </w:pPr>
      <w:rPr>
        <w:rFonts w:hint="default"/>
        <w:sz w:val="24"/>
      </w:rPr>
    </w:lvl>
    <w:lvl w:ilvl="7">
      <w:start w:val="1"/>
      <w:numFmt w:val="decimal"/>
      <w:lvlText w:val="%1.%2.%3.%4.%5.%6.%7.%8."/>
      <w:lvlJc w:val="left"/>
      <w:pPr>
        <w:tabs>
          <w:tab w:val="num" w:pos="1800"/>
        </w:tabs>
        <w:ind w:left="1800" w:hanging="1800"/>
      </w:pPr>
      <w:rPr>
        <w:rFonts w:hint="default"/>
        <w:sz w:val="24"/>
      </w:rPr>
    </w:lvl>
    <w:lvl w:ilvl="8">
      <w:start w:val="1"/>
      <w:numFmt w:val="decimal"/>
      <w:lvlText w:val="%1.%2.%3.%4.%5.%6.%7.%8.%9."/>
      <w:lvlJc w:val="left"/>
      <w:pPr>
        <w:tabs>
          <w:tab w:val="num" w:pos="1800"/>
        </w:tabs>
        <w:ind w:left="1800" w:hanging="1800"/>
      </w:pPr>
      <w:rPr>
        <w:rFonts w:hint="default"/>
        <w:sz w:val="24"/>
      </w:rPr>
    </w:lvl>
  </w:abstractNum>
  <w:abstractNum w:abstractNumId="33">
    <w:nsid w:val="51F43F71"/>
    <w:multiLevelType w:val="hybridMultilevel"/>
    <w:tmpl w:val="1388A8F6"/>
    <w:lvl w:ilvl="0" w:tplc="DCF43AFA">
      <w:start w:val="1"/>
      <w:numFmt w:val="bullet"/>
      <w:lvlText w:val="-"/>
      <w:lvlJc w:val="left"/>
      <w:pPr>
        <w:ind w:left="1778" w:hanging="360"/>
      </w:pPr>
      <w:rPr>
        <w:rFonts w:ascii="Arial" w:eastAsia="Times New Roman" w:hAnsi="Arial" w:cs="Arial" w:hint="default"/>
      </w:rPr>
    </w:lvl>
    <w:lvl w:ilvl="1" w:tplc="280A0003" w:tentative="1">
      <w:start w:val="1"/>
      <w:numFmt w:val="bullet"/>
      <w:lvlText w:val="o"/>
      <w:lvlJc w:val="left"/>
      <w:pPr>
        <w:ind w:left="2498" w:hanging="360"/>
      </w:pPr>
      <w:rPr>
        <w:rFonts w:ascii="Courier New" w:hAnsi="Courier New" w:cs="Courier New" w:hint="default"/>
      </w:rPr>
    </w:lvl>
    <w:lvl w:ilvl="2" w:tplc="280A0005" w:tentative="1">
      <w:start w:val="1"/>
      <w:numFmt w:val="bullet"/>
      <w:lvlText w:val=""/>
      <w:lvlJc w:val="left"/>
      <w:pPr>
        <w:ind w:left="3218" w:hanging="360"/>
      </w:pPr>
      <w:rPr>
        <w:rFonts w:ascii="Wingdings" w:hAnsi="Wingdings" w:hint="default"/>
      </w:rPr>
    </w:lvl>
    <w:lvl w:ilvl="3" w:tplc="280A0001" w:tentative="1">
      <w:start w:val="1"/>
      <w:numFmt w:val="bullet"/>
      <w:lvlText w:val=""/>
      <w:lvlJc w:val="left"/>
      <w:pPr>
        <w:ind w:left="3938" w:hanging="360"/>
      </w:pPr>
      <w:rPr>
        <w:rFonts w:ascii="Symbol" w:hAnsi="Symbol" w:hint="default"/>
      </w:rPr>
    </w:lvl>
    <w:lvl w:ilvl="4" w:tplc="280A0003" w:tentative="1">
      <w:start w:val="1"/>
      <w:numFmt w:val="bullet"/>
      <w:lvlText w:val="o"/>
      <w:lvlJc w:val="left"/>
      <w:pPr>
        <w:ind w:left="4658" w:hanging="360"/>
      </w:pPr>
      <w:rPr>
        <w:rFonts w:ascii="Courier New" w:hAnsi="Courier New" w:cs="Courier New" w:hint="default"/>
      </w:rPr>
    </w:lvl>
    <w:lvl w:ilvl="5" w:tplc="280A0005" w:tentative="1">
      <w:start w:val="1"/>
      <w:numFmt w:val="bullet"/>
      <w:lvlText w:val=""/>
      <w:lvlJc w:val="left"/>
      <w:pPr>
        <w:ind w:left="5378" w:hanging="360"/>
      </w:pPr>
      <w:rPr>
        <w:rFonts w:ascii="Wingdings" w:hAnsi="Wingdings" w:hint="default"/>
      </w:rPr>
    </w:lvl>
    <w:lvl w:ilvl="6" w:tplc="280A0001" w:tentative="1">
      <w:start w:val="1"/>
      <w:numFmt w:val="bullet"/>
      <w:lvlText w:val=""/>
      <w:lvlJc w:val="left"/>
      <w:pPr>
        <w:ind w:left="6098" w:hanging="360"/>
      </w:pPr>
      <w:rPr>
        <w:rFonts w:ascii="Symbol" w:hAnsi="Symbol" w:hint="default"/>
      </w:rPr>
    </w:lvl>
    <w:lvl w:ilvl="7" w:tplc="280A0003" w:tentative="1">
      <w:start w:val="1"/>
      <w:numFmt w:val="bullet"/>
      <w:lvlText w:val="o"/>
      <w:lvlJc w:val="left"/>
      <w:pPr>
        <w:ind w:left="6818" w:hanging="360"/>
      </w:pPr>
      <w:rPr>
        <w:rFonts w:ascii="Courier New" w:hAnsi="Courier New" w:cs="Courier New" w:hint="default"/>
      </w:rPr>
    </w:lvl>
    <w:lvl w:ilvl="8" w:tplc="280A0005" w:tentative="1">
      <w:start w:val="1"/>
      <w:numFmt w:val="bullet"/>
      <w:lvlText w:val=""/>
      <w:lvlJc w:val="left"/>
      <w:pPr>
        <w:ind w:left="7538" w:hanging="360"/>
      </w:pPr>
      <w:rPr>
        <w:rFonts w:ascii="Wingdings" w:hAnsi="Wingdings" w:hint="default"/>
      </w:rPr>
    </w:lvl>
  </w:abstractNum>
  <w:abstractNum w:abstractNumId="34">
    <w:nsid w:val="561F1BD5"/>
    <w:multiLevelType w:val="hybridMultilevel"/>
    <w:tmpl w:val="2B4EDA1A"/>
    <w:lvl w:ilvl="0" w:tplc="B0DA0F24">
      <w:numFmt w:val="bullet"/>
      <w:lvlText w:val="-"/>
      <w:lvlJc w:val="left"/>
      <w:pPr>
        <w:ind w:left="720" w:hanging="360"/>
      </w:pPr>
      <w:rPr>
        <w:rFonts w:ascii="Calibri" w:eastAsiaTheme="minorHAnsi" w:hAnsi="Calibri" w:cstheme="minorBidi"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5">
    <w:nsid w:val="592B087D"/>
    <w:multiLevelType w:val="hybridMultilevel"/>
    <w:tmpl w:val="3246FBB6"/>
    <w:lvl w:ilvl="0" w:tplc="400A0017">
      <w:start w:val="1"/>
      <w:numFmt w:val="lowerLetter"/>
      <w:lvlText w:val="%1)"/>
      <w:lvlJc w:val="left"/>
      <w:pPr>
        <w:ind w:left="720" w:hanging="360"/>
      </w:pPr>
      <w:rPr>
        <w:rFonts w:hint="default"/>
      </w:rPr>
    </w:lvl>
    <w:lvl w:ilvl="1" w:tplc="400A0019" w:tentative="1">
      <w:start w:val="1"/>
      <w:numFmt w:val="lowerLetter"/>
      <w:lvlText w:val="%2."/>
      <w:lvlJc w:val="left"/>
      <w:pPr>
        <w:ind w:left="1440" w:hanging="360"/>
      </w:pPr>
    </w:lvl>
    <w:lvl w:ilvl="2" w:tplc="400A001B" w:tentative="1">
      <w:start w:val="1"/>
      <w:numFmt w:val="lowerRoman"/>
      <w:lvlText w:val="%3."/>
      <w:lvlJc w:val="right"/>
      <w:pPr>
        <w:ind w:left="2160" w:hanging="180"/>
      </w:pPr>
    </w:lvl>
    <w:lvl w:ilvl="3" w:tplc="400A000F" w:tentative="1">
      <w:start w:val="1"/>
      <w:numFmt w:val="decimal"/>
      <w:lvlText w:val="%4."/>
      <w:lvlJc w:val="left"/>
      <w:pPr>
        <w:ind w:left="2880" w:hanging="360"/>
      </w:pPr>
    </w:lvl>
    <w:lvl w:ilvl="4" w:tplc="400A0019" w:tentative="1">
      <w:start w:val="1"/>
      <w:numFmt w:val="lowerLetter"/>
      <w:lvlText w:val="%5."/>
      <w:lvlJc w:val="left"/>
      <w:pPr>
        <w:ind w:left="3600" w:hanging="360"/>
      </w:pPr>
    </w:lvl>
    <w:lvl w:ilvl="5" w:tplc="400A001B" w:tentative="1">
      <w:start w:val="1"/>
      <w:numFmt w:val="lowerRoman"/>
      <w:lvlText w:val="%6."/>
      <w:lvlJc w:val="right"/>
      <w:pPr>
        <w:ind w:left="4320" w:hanging="180"/>
      </w:pPr>
    </w:lvl>
    <w:lvl w:ilvl="6" w:tplc="400A000F" w:tentative="1">
      <w:start w:val="1"/>
      <w:numFmt w:val="decimal"/>
      <w:lvlText w:val="%7."/>
      <w:lvlJc w:val="left"/>
      <w:pPr>
        <w:ind w:left="5040" w:hanging="360"/>
      </w:pPr>
    </w:lvl>
    <w:lvl w:ilvl="7" w:tplc="400A0019" w:tentative="1">
      <w:start w:val="1"/>
      <w:numFmt w:val="lowerLetter"/>
      <w:lvlText w:val="%8."/>
      <w:lvlJc w:val="left"/>
      <w:pPr>
        <w:ind w:left="5760" w:hanging="360"/>
      </w:pPr>
    </w:lvl>
    <w:lvl w:ilvl="8" w:tplc="400A001B" w:tentative="1">
      <w:start w:val="1"/>
      <w:numFmt w:val="lowerRoman"/>
      <w:lvlText w:val="%9."/>
      <w:lvlJc w:val="right"/>
      <w:pPr>
        <w:ind w:left="6480" w:hanging="180"/>
      </w:pPr>
    </w:lvl>
  </w:abstractNum>
  <w:abstractNum w:abstractNumId="36">
    <w:nsid w:val="5DD50C67"/>
    <w:multiLevelType w:val="hybridMultilevel"/>
    <w:tmpl w:val="D5F47C0E"/>
    <w:lvl w:ilvl="0" w:tplc="BE58B442">
      <w:start w:val="22"/>
      <w:numFmt w:val="upperLetter"/>
      <w:lvlText w:val="%1."/>
      <w:lvlJc w:val="left"/>
      <w:pPr>
        <w:tabs>
          <w:tab w:val="num" w:pos="720"/>
        </w:tabs>
        <w:ind w:left="720" w:hanging="360"/>
      </w:pPr>
    </w:lvl>
    <w:lvl w:ilvl="1" w:tplc="FD24DEE8" w:tentative="1">
      <w:start w:val="1"/>
      <w:numFmt w:val="decimal"/>
      <w:lvlText w:val="%2."/>
      <w:lvlJc w:val="left"/>
      <w:pPr>
        <w:tabs>
          <w:tab w:val="num" w:pos="1440"/>
        </w:tabs>
        <w:ind w:left="1440" w:hanging="360"/>
      </w:pPr>
    </w:lvl>
    <w:lvl w:ilvl="2" w:tplc="25688A80" w:tentative="1">
      <w:start w:val="1"/>
      <w:numFmt w:val="decimal"/>
      <w:lvlText w:val="%3."/>
      <w:lvlJc w:val="left"/>
      <w:pPr>
        <w:tabs>
          <w:tab w:val="num" w:pos="2160"/>
        </w:tabs>
        <w:ind w:left="2160" w:hanging="360"/>
      </w:pPr>
    </w:lvl>
    <w:lvl w:ilvl="3" w:tplc="C76881A2" w:tentative="1">
      <w:start w:val="1"/>
      <w:numFmt w:val="decimal"/>
      <w:lvlText w:val="%4."/>
      <w:lvlJc w:val="left"/>
      <w:pPr>
        <w:tabs>
          <w:tab w:val="num" w:pos="2880"/>
        </w:tabs>
        <w:ind w:left="2880" w:hanging="360"/>
      </w:pPr>
    </w:lvl>
    <w:lvl w:ilvl="4" w:tplc="900EF714" w:tentative="1">
      <w:start w:val="1"/>
      <w:numFmt w:val="decimal"/>
      <w:lvlText w:val="%5."/>
      <w:lvlJc w:val="left"/>
      <w:pPr>
        <w:tabs>
          <w:tab w:val="num" w:pos="3600"/>
        </w:tabs>
        <w:ind w:left="3600" w:hanging="360"/>
      </w:pPr>
    </w:lvl>
    <w:lvl w:ilvl="5" w:tplc="62E8E7EA" w:tentative="1">
      <w:start w:val="1"/>
      <w:numFmt w:val="decimal"/>
      <w:lvlText w:val="%6."/>
      <w:lvlJc w:val="left"/>
      <w:pPr>
        <w:tabs>
          <w:tab w:val="num" w:pos="4320"/>
        </w:tabs>
        <w:ind w:left="4320" w:hanging="360"/>
      </w:pPr>
    </w:lvl>
    <w:lvl w:ilvl="6" w:tplc="820A60B8" w:tentative="1">
      <w:start w:val="1"/>
      <w:numFmt w:val="decimal"/>
      <w:lvlText w:val="%7."/>
      <w:lvlJc w:val="left"/>
      <w:pPr>
        <w:tabs>
          <w:tab w:val="num" w:pos="5040"/>
        </w:tabs>
        <w:ind w:left="5040" w:hanging="360"/>
      </w:pPr>
    </w:lvl>
    <w:lvl w:ilvl="7" w:tplc="F8A0931C" w:tentative="1">
      <w:start w:val="1"/>
      <w:numFmt w:val="decimal"/>
      <w:lvlText w:val="%8."/>
      <w:lvlJc w:val="left"/>
      <w:pPr>
        <w:tabs>
          <w:tab w:val="num" w:pos="5760"/>
        </w:tabs>
        <w:ind w:left="5760" w:hanging="360"/>
      </w:pPr>
    </w:lvl>
    <w:lvl w:ilvl="8" w:tplc="FF609194" w:tentative="1">
      <w:start w:val="1"/>
      <w:numFmt w:val="decimal"/>
      <w:lvlText w:val="%9."/>
      <w:lvlJc w:val="left"/>
      <w:pPr>
        <w:tabs>
          <w:tab w:val="num" w:pos="6480"/>
        </w:tabs>
        <w:ind w:left="6480" w:hanging="360"/>
      </w:pPr>
    </w:lvl>
  </w:abstractNum>
  <w:abstractNum w:abstractNumId="37">
    <w:nsid w:val="62843C27"/>
    <w:multiLevelType w:val="hybridMultilevel"/>
    <w:tmpl w:val="AD94B66E"/>
    <w:lvl w:ilvl="0" w:tplc="280A0001">
      <w:start w:val="1"/>
      <w:numFmt w:val="bullet"/>
      <w:lvlText w:val=""/>
      <w:lvlJc w:val="left"/>
      <w:pPr>
        <w:ind w:left="2145" w:hanging="360"/>
      </w:pPr>
      <w:rPr>
        <w:rFonts w:ascii="Symbol" w:hAnsi="Symbol" w:hint="default"/>
      </w:rPr>
    </w:lvl>
    <w:lvl w:ilvl="1" w:tplc="280A0003" w:tentative="1">
      <w:start w:val="1"/>
      <w:numFmt w:val="bullet"/>
      <w:lvlText w:val="o"/>
      <w:lvlJc w:val="left"/>
      <w:pPr>
        <w:ind w:left="2865" w:hanging="360"/>
      </w:pPr>
      <w:rPr>
        <w:rFonts w:ascii="Courier New" w:hAnsi="Courier New" w:cs="Courier New" w:hint="default"/>
      </w:rPr>
    </w:lvl>
    <w:lvl w:ilvl="2" w:tplc="280A0005" w:tentative="1">
      <w:start w:val="1"/>
      <w:numFmt w:val="bullet"/>
      <w:lvlText w:val=""/>
      <w:lvlJc w:val="left"/>
      <w:pPr>
        <w:ind w:left="3585" w:hanging="360"/>
      </w:pPr>
      <w:rPr>
        <w:rFonts w:ascii="Wingdings" w:hAnsi="Wingdings" w:hint="default"/>
      </w:rPr>
    </w:lvl>
    <w:lvl w:ilvl="3" w:tplc="280A0001" w:tentative="1">
      <w:start w:val="1"/>
      <w:numFmt w:val="bullet"/>
      <w:lvlText w:val=""/>
      <w:lvlJc w:val="left"/>
      <w:pPr>
        <w:ind w:left="4305" w:hanging="360"/>
      </w:pPr>
      <w:rPr>
        <w:rFonts w:ascii="Symbol" w:hAnsi="Symbol" w:hint="default"/>
      </w:rPr>
    </w:lvl>
    <w:lvl w:ilvl="4" w:tplc="280A0003" w:tentative="1">
      <w:start w:val="1"/>
      <w:numFmt w:val="bullet"/>
      <w:lvlText w:val="o"/>
      <w:lvlJc w:val="left"/>
      <w:pPr>
        <w:ind w:left="5025" w:hanging="360"/>
      </w:pPr>
      <w:rPr>
        <w:rFonts w:ascii="Courier New" w:hAnsi="Courier New" w:cs="Courier New" w:hint="default"/>
      </w:rPr>
    </w:lvl>
    <w:lvl w:ilvl="5" w:tplc="280A0005" w:tentative="1">
      <w:start w:val="1"/>
      <w:numFmt w:val="bullet"/>
      <w:lvlText w:val=""/>
      <w:lvlJc w:val="left"/>
      <w:pPr>
        <w:ind w:left="5745" w:hanging="360"/>
      </w:pPr>
      <w:rPr>
        <w:rFonts w:ascii="Wingdings" w:hAnsi="Wingdings" w:hint="default"/>
      </w:rPr>
    </w:lvl>
    <w:lvl w:ilvl="6" w:tplc="280A0001" w:tentative="1">
      <w:start w:val="1"/>
      <w:numFmt w:val="bullet"/>
      <w:lvlText w:val=""/>
      <w:lvlJc w:val="left"/>
      <w:pPr>
        <w:ind w:left="6465" w:hanging="360"/>
      </w:pPr>
      <w:rPr>
        <w:rFonts w:ascii="Symbol" w:hAnsi="Symbol" w:hint="default"/>
      </w:rPr>
    </w:lvl>
    <w:lvl w:ilvl="7" w:tplc="280A0003" w:tentative="1">
      <w:start w:val="1"/>
      <w:numFmt w:val="bullet"/>
      <w:lvlText w:val="o"/>
      <w:lvlJc w:val="left"/>
      <w:pPr>
        <w:ind w:left="7185" w:hanging="360"/>
      </w:pPr>
      <w:rPr>
        <w:rFonts w:ascii="Courier New" w:hAnsi="Courier New" w:cs="Courier New" w:hint="default"/>
      </w:rPr>
    </w:lvl>
    <w:lvl w:ilvl="8" w:tplc="280A0005" w:tentative="1">
      <w:start w:val="1"/>
      <w:numFmt w:val="bullet"/>
      <w:lvlText w:val=""/>
      <w:lvlJc w:val="left"/>
      <w:pPr>
        <w:ind w:left="7905" w:hanging="360"/>
      </w:pPr>
      <w:rPr>
        <w:rFonts w:ascii="Wingdings" w:hAnsi="Wingdings" w:hint="default"/>
      </w:rPr>
    </w:lvl>
  </w:abstractNum>
  <w:abstractNum w:abstractNumId="38">
    <w:nsid w:val="68B52D38"/>
    <w:multiLevelType w:val="multilevel"/>
    <w:tmpl w:val="ECE0EF2E"/>
    <w:lvl w:ilvl="0">
      <w:start w:val="5"/>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9">
    <w:nsid w:val="6BEA2DA7"/>
    <w:multiLevelType w:val="hybridMultilevel"/>
    <w:tmpl w:val="73B66B16"/>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0">
    <w:nsid w:val="78035155"/>
    <w:multiLevelType w:val="hybridMultilevel"/>
    <w:tmpl w:val="8DBCF336"/>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1">
    <w:nsid w:val="7DFA2463"/>
    <w:multiLevelType w:val="multilevel"/>
    <w:tmpl w:val="483C9C6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42">
    <w:nsid w:val="7FEC670E"/>
    <w:multiLevelType w:val="hybridMultilevel"/>
    <w:tmpl w:val="1F0800BC"/>
    <w:lvl w:ilvl="0" w:tplc="52865396">
      <w:start w:val="1"/>
      <w:numFmt w:val="upperRoman"/>
      <w:lvlText w:val="%1."/>
      <w:lvlJc w:val="left"/>
      <w:pPr>
        <w:ind w:left="1080" w:hanging="72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num w:numId="1">
    <w:abstractNumId w:val="12"/>
  </w:num>
  <w:num w:numId="2">
    <w:abstractNumId w:val="5"/>
  </w:num>
  <w:num w:numId="3">
    <w:abstractNumId w:val="28"/>
  </w:num>
  <w:num w:numId="4">
    <w:abstractNumId w:val="17"/>
  </w:num>
  <w:num w:numId="5">
    <w:abstractNumId w:val="39"/>
  </w:num>
  <w:num w:numId="6">
    <w:abstractNumId w:val="25"/>
  </w:num>
  <w:num w:numId="7">
    <w:abstractNumId w:val="40"/>
  </w:num>
  <w:num w:numId="8">
    <w:abstractNumId w:val="23"/>
  </w:num>
  <w:num w:numId="9">
    <w:abstractNumId w:val="4"/>
  </w:num>
  <w:num w:numId="10">
    <w:abstractNumId w:val="32"/>
  </w:num>
  <w:num w:numId="11">
    <w:abstractNumId w:val="14"/>
  </w:num>
  <w:num w:numId="12">
    <w:abstractNumId w:val="24"/>
  </w:num>
  <w:num w:numId="13">
    <w:abstractNumId w:val="8"/>
  </w:num>
  <w:num w:numId="14">
    <w:abstractNumId w:val="26"/>
  </w:num>
  <w:num w:numId="15">
    <w:abstractNumId w:val="6"/>
  </w:num>
  <w:num w:numId="16">
    <w:abstractNumId w:val="18"/>
  </w:num>
  <w:num w:numId="17">
    <w:abstractNumId w:val="7"/>
  </w:num>
  <w:num w:numId="18">
    <w:abstractNumId w:val="19"/>
  </w:num>
  <w:num w:numId="19">
    <w:abstractNumId w:val="22"/>
  </w:num>
  <w:num w:numId="20">
    <w:abstractNumId w:val="20"/>
  </w:num>
  <w:num w:numId="21">
    <w:abstractNumId w:val="27"/>
  </w:num>
  <w:num w:numId="22">
    <w:abstractNumId w:val="31"/>
  </w:num>
  <w:num w:numId="23">
    <w:abstractNumId w:val="38"/>
  </w:num>
  <w:num w:numId="24">
    <w:abstractNumId w:val="2"/>
  </w:num>
  <w:num w:numId="25">
    <w:abstractNumId w:val="33"/>
  </w:num>
  <w:num w:numId="26">
    <w:abstractNumId w:val="21"/>
  </w:num>
  <w:num w:numId="27">
    <w:abstractNumId w:val="9"/>
  </w:num>
  <w:num w:numId="28">
    <w:abstractNumId w:val="1"/>
  </w:num>
  <w:num w:numId="29">
    <w:abstractNumId w:val="11"/>
  </w:num>
  <w:num w:numId="30">
    <w:abstractNumId w:val="41"/>
  </w:num>
  <w:num w:numId="31">
    <w:abstractNumId w:val="30"/>
  </w:num>
  <w:num w:numId="32">
    <w:abstractNumId w:val="37"/>
  </w:num>
  <w:num w:numId="33">
    <w:abstractNumId w:val="16"/>
  </w:num>
  <w:num w:numId="34">
    <w:abstractNumId w:val="42"/>
  </w:num>
  <w:num w:numId="35">
    <w:abstractNumId w:val="0"/>
  </w:num>
  <w:num w:numId="36">
    <w:abstractNumId w:val="36"/>
  </w:num>
  <w:num w:numId="37">
    <w:abstractNumId w:val="34"/>
  </w:num>
  <w:num w:numId="38">
    <w:abstractNumId w:val="10"/>
  </w:num>
  <w:num w:numId="39">
    <w:abstractNumId w:val="3"/>
  </w:num>
  <w:num w:numId="40">
    <w:abstractNumId w:val="35"/>
  </w:num>
  <w:num w:numId="41">
    <w:abstractNumId w:val="15"/>
  </w:num>
  <w:num w:numId="42">
    <w:abstractNumId w:val="13"/>
  </w:num>
  <w:num w:numId="43">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
  <w:rsids>
    <w:rsidRoot w:val="00A64093"/>
    <w:rsid w:val="00000D7E"/>
    <w:rsid w:val="000042E5"/>
    <w:rsid w:val="00005E2A"/>
    <w:rsid w:val="0000653A"/>
    <w:rsid w:val="00012194"/>
    <w:rsid w:val="00012D35"/>
    <w:rsid w:val="0001578A"/>
    <w:rsid w:val="00016AC4"/>
    <w:rsid w:val="00020FCC"/>
    <w:rsid w:val="000236CC"/>
    <w:rsid w:val="0002486F"/>
    <w:rsid w:val="00024DD9"/>
    <w:rsid w:val="0002648D"/>
    <w:rsid w:val="0003046F"/>
    <w:rsid w:val="0003101D"/>
    <w:rsid w:val="00032B0F"/>
    <w:rsid w:val="000330EA"/>
    <w:rsid w:val="00034493"/>
    <w:rsid w:val="00034A10"/>
    <w:rsid w:val="00037A33"/>
    <w:rsid w:val="000412D9"/>
    <w:rsid w:val="00041A37"/>
    <w:rsid w:val="00041D83"/>
    <w:rsid w:val="000437B4"/>
    <w:rsid w:val="0004431F"/>
    <w:rsid w:val="000453D7"/>
    <w:rsid w:val="00045C46"/>
    <w:rsid w:val="000477DB"/>
    <w:rsid w:val="00047C4B"/>
    <w:rsid w:val="0005186F"/>
    <w:rsid w:val="000534AA"/>
    <w:rsid w:val="00053FA9"/>
    <w:rsid w:val="00054E7A"/>
    <w:rsid w:val="00056A61"/>
    <w:rsid w:val="00056A63"/>
    <w:rsid w:val="00062A35"/>
    <w:rsid w:val="000632CE"/>
    <w:rsid w:val="00064FC0"/>
    <w:rsid w:val="00065368"/>
    <w:rsid w:val="0006593D"/>
    <w:rsid w:val="00065B4A"/>
    <w:rsid w:val="0006651C"/>
    <w:rsid w:val="000679AF"/>
    <w:rsid w:val="0007124D"/>
    <w:rsid w:val="00073384"/>
    <w:rsid w:val="00073E35"/>
    <w:rsid w:val="000764C6"/>
    <w:rsid w:val="000769B8"/>
    <w:rsid w:val="0008102C"/>
    <w:rsid w:val="00082990"/>
    <w:rsid w:val="00083DA8"/>
    <w:rsid w:val="000851A3"/>
    <w:rsid w:val="00085D3B"/>
    <w:rsid w:val="00086695"/>
    <w:rsid w:val="00086DAB"/>
    <w:rsid w:val="00087522"/>
    <w:rsid w:val="00087B98"/>
    <w:rsid w:val="00093546"/>
    <w:rsid w:val="000A0B11"/>
    <w:rsid w:val="000A1918"/>
    <w:rsid w:val="000A2B1C"/>
    <w:rsid w:val="000A3617"/>
    <w:rsid w:val="000A42AF"/>
    <w:rsid w:val="000A46B0"/>
    <w:rsid w:val="000A4ACD"/>
    <w:rsid w:val="000A61E8"/>
    <w:rsid w:val="000A6CCD"/>
    <w:rsid w:val="000A74DB"/>
    <w:rsid w:val="000A7C49"/>
    <w:rsid w:val="000B3C4C"/>
    <w:rsid w:val="000B47BC"/>
    <w:rsid w:val="000B4A53"/>
    <w:rsid w:val="000B4D7A"/>
    <w:rsid w:val="000B749E"/>
    <w:rsid w:val="000B7B17"/>
    <w:rsid w:val="000B7BA0"/>
    <w:rsid w:val="000C1F10"/>
    <w:rsid w:val="000C2492"/>
    <w:rsid w:val="000C4F95"/>
    <w:rsid w:val="000C727E"/>
    <w:rsid w:val="000C77EA"/>
    <w:rsid w:val="000C7C29"/>
    <w:rsid w:val="000D08C9"/>
    <w:rsid w:val="000D4014"/>
    <w:rsid w:val="000D4223"/>
    <w:rsid w:val="000D427B"/>
    <w:rsid w:val="000E16DF"/>
    <w:rsid w:val="000E1919"/>
    <w:rsid w:val="000E24D8"/>
    <w:rsid w:val="000E58F8"/>
    <w:rsid w:val="000E7B1C"/>
    <w:rsid w:val="000F03F3"/>
    <w:rsid w:val="000F203A"/>
    <w:rsid w:val="000F55EF"/>
    <w:rsid w:val="000F5A78"/>
    <w:rsid w:val="000F6D7E"/>
    <w:rsid w:val="001013CE"/>
    <w:rsid w:val="00101ECC"/>
    <w:rsid w:val="00104AFA"/>
    <w:rsid w:val="0010572F"/>
    <w:rsid w:val="0010609E"/>
    <w:rsid w:val="00107078"/>
    <w:rsid w:val="001070FE"/>
    <w:rsid w:val="00110734"/>
    <w:rsid w:val="0011126F"/>
    <w:rsid w:val="0011226F"/>
    <w:rsid w:val="001135E8"/>
    <w:rsid w:val="0011376B"/>
    <w:rsid w:val="00113C10"/>
    <w:rsid w:val="00114BD6"/>
    <w:rsid w:val="001151D4"/>
    <w:rsid w:val="00115BCD"/>
    <w:rsid w:val="00116FAD"/>
    <w:rsid w:val="0012067D"/>
    <w:rsid w:val="00121FE7"/>
    <w:rsid w:val="00122268"/>
    <w:rsid w:val="00122F6D"/>
    <w:rsid w:val="00124CF5"/>
    <w:rsid w:val="00125988"/>
    <w:rsid w:val="00126768"/>
    <w:rsid w:val="00130E2C"/>
    <w:rsid w:val="00131029"/>
    <w:rsid w:val="00131CF5"/>
    <w:rsid w:val="0013275B"/>
    <w:rsid w:val="00133A9B"/>
    <w:rsid w:val="00133D92"/>
    <w:rsid w:val="00134ACA"/>
    <w:rsid w:val="00136A9B"/>
    <w:rsid w:val="001375D7"/>
    <w:rsid w:val="001402AE"/>
    <w:rsid w:val="00140642"/>
    <w:rsid w:val="001452FB"/>
    <w:rsid w:val="00146EA2"/>
    <w:rsid w:val="00147869"/>
    <w:rsid w:val="00147CD7"/>
    <w:rsid w:val="00147F7A"/>
    <w:rsid w:val="001504C7"/>
    <w:rsid w:val="0015098F"/>
    <w:rsid w:val="00150CC2"/>
    <w:rsid w:val="0015224A"/>
    <w:rsid w:val="00152AFF"/>
    <w:rsid w:val="001535EF"/>
    <w:rsid w:val="001551D5"/>
    <w:rsid w:val="00155463"/>
    <w:rsid w:val="00155731"/>
    <w:rsid w:val="00156691"/>
    <w:rsid w:val="001625D3"/>
    <w:rsid w:val="00162A97"/>
    <w:rsid w:val="001653B3"/>
    <w:rsid w:val="001653D3"/>
    <w:rsid w:val="00165F91"/>
    <w:rsid w:val="00166B8B"/>
    <w:rsid w:val="00170746"/>
    <w:rsid w:val="00173B72"/>
    <w:rsid w:val="0018105A"/>
    <w:rsid w:val="0018116C"/>
    <w:rsid w:val="00187516"/>
    <w:rsid w:val="00187AB0"/>
    <w:rsid w:val="001917FA"/>
    <w:rsid w:val="001919DE"/>
    <w:rsid w:val="001976B6"/>
    <w:rsid w:val="001A21EC"/>
    <w:rsid w:val="001A3107"/>
    <w:rsid w:val="001A34F5"/>
    <w:rsid w:val="001A367E"/>
    <w:rsid w:val="001A4DEB"/>
    <w:rsid w:val="001A655A"/>
    <w:rsid w:val="001A6EF1"/>
    <w:rsid w:val="001A7937"/>
    <w:rsid w:val="001B099E"/>
    <w:rsid w:val="001B278D"/>
    <w:rsid w:val="001B2A87"/>
    <w:rsid w:val="001B3177"/>
    <w:rsid w:val="001B41B7"/>
    <w:rsid w:val="001B6B2C"/>
    <w:rsid w:val="001C3E76"/>
    <w:rsid w:val="001C4D30"/>
    <w:rsid w:val="001D1672"/>
    <w:rsid w:val="001D657F"/>
    <w:rsid w:val="001D6999"/>
    <w:rsid w:val="001D7488"/>
    <w:rsid w:val="001D7973"/>
    <w:rsid w:val="001E0B19"/>
    <w:rsid w:val="001E1182"/>
    <w:rsid w:val="001E159F"/>
    <w:rsid w:val="001E1973"/>
    <w:rsid w:val="001E4916"/>
    <w:rsid w:val="001F03AA"/>
    <w:rsid w:val="001F3445"/>
    <w:rsid w:val="001F4EB8"/>
    <w:rsid w:val="001F5893"/>
    <w:rsid w:val="00200080"/>
    <w:rsid w:val="00200EF7"/>
    <w:rsid w:val="00201D14"/>
    <w:rsid w:val="00205C39"/>
    <w:rsid w:val="002075A3"/>
    <w:rsid w:val="002105BC"/>
    <w:rsid w:val="00211291"/>
    <w:rsid w:val="00211D54"/>
    <w:rsid w:val="00212950"/>
    <w:rsid w:val="00214171"/>
    <w:rsid w:val="0021733E"/>
    <w:rsid w:val="00217964"/>
    <w:rsid w:val="002210DD"/>
    <w:rsid w:val="00221239"/>
    <w:rsid w:val="00221902"/>
    <w:rsid w:val="00222426"/>
    <w:rsid w:val="00225994"/>
    <w:rsid w:val="00227DEF"/>
    <w:rsid w:val="00230166"/>
    <w:rsid w:val="002301A8"/>
    <w:rsid w:val="002306C4"/>
    <w:rsid w:val="00230D18"/>
    <w:rsid w:val="00231DE1"/>
    <w:rsid w:val="00232B3C"/>
    <w:rsid w:val="00233A37"/>
    <w:rsid w:val="002343D1"/>
    <w:rsid w:val="00234670"/>
    <w:rsid w:val="002354E0"/>
    <w:rsid w:val="0023742F"/>
    <w:rsid w:val="00240985"/>
    <w:rsid w:val="00241C54"/>
    <w:rsid w:val="00242291"/>
    <w:rsid w:val="002440EA"/>
    <w:rsid w:val="00244A14"/>
    <w:rsid w:val="00246DCB"/>
    <w:rsid w:val="00247418"/>
    <w:rsid w:val="00250704"/>
    <w:rsid w:val="00252A02"/>
    <w:rsid w:val="00252C27"/>
    <w:rsid w:val="00253558"/>
    <w:rsid w:val="00256870"/>
    <w:rsid w:val="0025720B"/>
    <w:rsid w:val="0025747A"/>
    <w:rsid w:val="00257C70"/>
    <w:rsid w:val="002618DE"/>
    <w:rsid w:val="00262EB6"/>
    <w:rsid w:val="00263C74"/>
    <w:rsid w:val="0026501A"/>
    <w:rsid w:val="002650A6"/>
    <w:rsid w:val="0026524D"/>
    <w:rsid w:val="00265302"/>
    <w:rsid w:val="0026542D"/>
    <w:rsid w:val="00265DAB"/>
    <w:rsid w:val="00267A9E"/>
    <w:rsid w:val="002718B1"/>
    <w:rsid w:val="0027202C"/>
    <w:rsid w:val="00272FA1"/>
    <w:rsid w:val="002772D2"/>
    <w:rsid w:val="00277699"/>
    <w:rsid w:val="00282090"/>
    <w:rsid w:val="002822A6"/>
    <w:rsid w:val="00282CEB"/>
    <w:rsid w:val="002831C4"/>
    <w:rsid w:val="002841B1"/>
    <w:rsid w:val="002844C2"/>
    <w:rsid w:val="00284894"/>
    <w:rsid w:val="00285B71"/>
    <w:rsid w:val="002875C2"/>
    <w:rsid w:val="0029026F"/>
    <w:rsid w:val="0029062A"/>
    <w:rsid w:val="002908AC"/>
    <w:rsid w:val="00292757"/>
    <w:rsid w:val="00294849"/>
    <w:rsid w:val="002951DF"/>
    <w:rsid w:val="00296CE1"/>
    <w:rsid w:val="002A2F46"/>
    <w:rsid w:val="002A34A8"/>
    <w:rsid w:val="002A4A4C"/>
    <w:rsid w:val="002A4E0F"/>
    <w:rsid w:val="002A5E0D"/>
    <w:rsid w:val="002A754A"/>
    <w:rsid w:val="002A778C"/>
    <w:rsid w:val="002B0B2E"/>
    <w:rsid w:val="002B2704"/>
    <w:rsid w:val="002B56A5"/>
    <w:rsid w:val="002B5B76"/>
    <w:rsid w:val="002B7F5B"/>
    <w:rsid w:val="002C1F3D"/>
    <w:rsid w:val="002C2625"/>
    <w:rsid w:val="002C3C6B"/>
    <w:rsid w:val="002C500F"/>
    <w:rsid w:val="002C6503"/>
    <w:rsid w:val="002C6729"/>
    <w:rsid w:val="002C7384"/>
    <w:rsid w:val="002D01BE"/>
    <w:rsid w:val="002D0C3A"/>
    <w:rsid w:val="002D1E65"/>
    <w:rsid w:val="002D396E"/>
    <w:rsid w:val="002D3F4B"/>
    <w:rsid w:val="002D4951"/>
    <w:rsid w:val="002D7459"/>
    <w:rsid w:val="002E0F54"/>
    <w:rsid w:val="002E117C"/>
    <w:rsid w:val="002E1905"/>
    <w:rsid w:val="002E1A00"/>
    <w:rsid w:val="002E5ECC"/>
    <w:rsid w:val="002E7552"/>
    <w:rsid w:val="002E79D3"/>
    <w:rsid w:val="002E7A4B"/>
    <w:rsid w:val="002F00F5"/>
    <w:rsid w:val="002F1094"/>
    <w:rsid w:val="002F1993"/>
    <w:rsid w:val="002F2007"/>
    <w:rsid w:val="002F275A"/>
    <w:rsid w:val="002F2E06"/>
    <w:rsid w:val="002F3F70"/>
    <w:rsid w:val="002F595C"/>
    <w:rsid w:val="002F7155"/>
    <w:rsid w:val="002F7A28"/>
    <w:rsid w:val="0030071D"/>
    <w:rsid w:val="00300D2C"/>
    <w:rsid w:val="00303794"/>
    <w:rsid w:val="00304B25"/>
    <w:rsid w:val="003057A5"/>
    <w:rsid w:val="003063C9"/>
    <w:rsid w:val="0031278F"/>
    <w:rsid w:val="003147FA"/>
    <w:rsid w:val="003153B6"/>
    <w:rsid w:val="00315ABD"/>
    <w:rsid w:val="00315E3D"/>
    <w:rsid w:val="00324531"/>
    <w:rsid w:val="00325784"/>
    <w:rsid w:val="00325977"/>
    <w:rsid w:val="00325CC0"/>
    <w:rsid w:val="00325DC3"/>
    <w:rsid w:val="00326080"/>
    <w:rsid w:val="003260F5"/>
    <w:rsid w:val="003264EE"/>
    <w:rsid w:val="00327439"/>
    <w:rsid w:val="003277AD"/>
    <w:rsid w:val="00330ACB"/>
    <w:rsid w:val="00331028"/>
    <w:rsid w:val="00332F64"/>
    <w:rsid w:val="00334831"/>
    <w:rsid w:val="00336EE2"/>
    <w:rsid w:val="00337A64"/>
    <w:rsid w:val="00341909"/>
    <w:rsid w:val="0034227A"/>
    <w:rsid w:val="00342C59"/>
    <w:rsid w:val="0034750F"/>
    <w:rsid w:val="0034767E"/>
    <w:rsid w:val="00347CFD"/>
    <w:rsid w:val="00350D95"/>
    <w:rsid w:val="00350F0F"/>
    <w:rsid w:val="0035108F"/>
    <w:rsid w:val="00352368"/>
    <w:rsid w:val="00354155"/>
    <w:rsid w:val="00354B47"/>
    <w:rsid w:val="00355A92"/>
    <w:rsid w:val="00356779"/>
    <w:rsid w:val="00356922"/>
    <w:rsid w:val="00360E90"/>
    <w:rsid w:val="00360F88"/>
    <w:rsid w:val="003619A0"/>
    <w:rsid w:val="003620F0"/>
    <w:rsid w:val="00362869"/>
    <w:rsid w:val="003635BD"/>
    <w:rsid w:val="00367619"/>
    <w:rsid w:val="0037136C"/>
    <w:rsid w:val="003721AF"/>
    <w:rsid w:val="0037231D"/>
    <w:rsid w:val="00372886"/>
    <w:rsid w:val="003748FA"/>
    <w:rsid w:val="00375E65"/>
    <w:rsid w:val="003765B3"/>
    <w:rsid w:val="00380DF0"/>
    <w:rsid w:val="0038249A"/>
    <w:rsid w:val="003830D4"/>
    <w:rsid w:val="00384A42"/>
    <w:rsid w:val="00385103"/>
    <w:rsid w:val="00387B5B"/>
    <w:rsid w:val="00390469"/>
    <w:rsid w:val="0039402E"/>
    <w:rsid w:val="00394330"/>
    <w:rsid w:val="003962DB"/>
    <w:rsid w:val="00396452"/>
    <w:rsid w:val="00396958"/>
    <w:rsid w:val="0039782C"/>
    <w:rsid w:val="00397FF1"/>
    <w:rsid w:val="003A0663"/>
    <w:rsid w:val="003A1294"/>
    <w:rsid w:val="003A1C1C"/>
    <w:rsid w:val="003A2973"/>
    <w:rsid w:val="003A29E7"/>
    <w:rsid w:val="003A2D45"/>
    <w:rsid w:val="003A39E7"/>
    <w:rsid w:val="003A602C"/>
    <w:rsid w:val="003B1A4F"/>
    <w:rsid w:val="003B397E"/>
    <w:rsid w:val="003B6A9F"/>
    <w:rsid w:val="003C0306"/>
    <w:rsid w:val="003C0385"/>
    <w:rsid w:val="003C176F"/>
    <w:rsid w:val="003C3001"/>
    <w:rsid w:val="003C5CE4"/>
    <w:rsid w:val="003C6F05"/>
    <w:rsid w:val="003C7C23"/>
    <w:rsid w:val="003D073D"/>
    <w:rsid w:val="003D1810"/>
    <w:rsid w:val="003D35F6"/>
    <w:rsid w:val="003D4EC2"/>
    <w:rsid w:val="003D65E6"/>
    <w:rsid w:val="003E0A04"/>
    <w:rsid w:val="003E38B3"/>
    <w:rsid w:val="003E3AE6"/>
    <w:rsid w:val="003E67D5"/>
    <w:rsid w:val="003E6F25"/>
    <w:rsid w:val="003E74A1"/>
    <w:rsid w:val="003F02FF"/>
    <w:rsid w:val="003F0535"/>
    <w:rsid w:val="003F14B4"/>
    <w:rsid w:val="003F304C"/>
    <w:rsid w:val="003F345D"/>
    <w:rsid w:val="003F4983"/>
    <w:rsid w:val="003F4AB2"/>
    <w:rsid w:val="003F5073"/>
    <w:rsid w:val="003F678B"/>
    <w:rsid w:val="004024E8"/>
    <w:rsid w:val="0040255E"/>
    <w:rsid w:val="004040FA"/>
    <w:rsid w:val="00406487"/>
    <w:rsid w:val="00411E67"/>
    <w:rsid w:val="00414BAD"/>
    <w:rsid w:val="004200DD"/>
    <w:rsid w:val="00420CA9"/>
    <w:rsid w:val="0042122B"/>
    <w:rsid w:val="004215F1"/>
    <w:rsid w:val="0042175C"/>
    <w:rsid w:val="00425BE7"/>
    <w:rsid w:val="00426340"/>
    <w:rsid w:val="0042726F"/>
    <w:rsid w:val="00430D7C"/>
    <w:rsid w:val="004311E7"/>
    <w:rsid w:val="004322A1"/>
    <w:rsid w:val="00434A44"/>
    <w:rsid w:val="00435097"/>
    <w:rsid w:val="00435D8C"/>
    <w:rsid w:val="004364B8"/>
    <w:rsid w:val="004365FB"/>
    <w:rsid w:val="0043751B"/>
    <w:rsid w:val="00440D56"/>
    <w:rsid w:val="00441592"/>
    <w:rsid w:val="00445859"/>
    <w:rsid w:val="00447664"/>
    <w:rsid w:val="004507F7"/>
    <w:rsid w:val="00452584"/>
    <w:rsid w:val="004547D2"/>
    <w:rsid w:val="00454ED3"/>
    <w:rsid w:val="00455C44"/>
    <w:rsid w:val="004616C8"/>
    <w:rsid w:val="004638C1"/>
    <w:rsid w:val="00463C00"/>
    <w:rsid w:val="00464AF0"/>
    <w:rsid w:val="004660EC"/>
    <w:rsid w:val="004666C5"/>
    <w:rsid w:val="00467094"/>
    <w:rsid w:val="0047238E"/>
    <w:rsid w:val="00472B9C"/>
    <w:rsid w:val="00472C7F"/>
    <w:rsid w:val="00473449"/>
    <w:rsid w:val="00473705"/>
    <w:rsid w:val="004738AE"/>
    <w:rsid w:val="0047451D"/>
    <w:rsid w:val="00476C11"/>
    <w:rsid w:val="0048127B"/>
    <w:rsid w:val="0048427A"/>
    <w:rsid w:val="0048555C"/>
    <w:rsid w:val="004876E6"/>
    <w:rsid w:val="004877C1"/>
    <w:rsid w:val="00487A2D"/>
    <w:rsid w:val="00490724"/>
    <w:rsid w:val="00491F97"/>
    <w:rsid w:val="00493535"/>
    <w:rsid w:val="00494EE2"/>
    <w:rsid w:val="004957CA"/>
    <w:rsid w:val="00496439"/>
    <w:rsid w:val="00497C11"/>
    <w:rsid w:val="004A0B57"/>
    <w:rsid w:val="004A15F5"/>
    <w:rsid w:val="004A17A2"/>
    <w:rsid w:val="004A1B11"/>
    <w:rsid w:val="004A2A3D"/>
    <w:rsid w:val="004A3276"/>
    <w:rsid w:val="004A4D06"/>
    <w:rsid w:val="004A52C4"/>
    <w:rsid w:val="004B02C2"/>
    <w:rsid w:val="004B0754"/>
    <w:rsid w:val="004B379B"/>
    <w:rsid w:val="004B3D75"/>
    <w:rsid w:val="004B4D3D"/>
    <w:rsid w:val="004C11CF"/>
    <w:rsid w:val="004C1BBC"/>
    <w:rsid w:val="004C1EBF"/>
    <w:rsid w:val="004C443B"/>
    <w:rsid w:val="004C580D"/>
    <w:rsid w:val="004D1AED"/>
    <w:rsid w:val="004D1B2F"/>
    <w:rsid w:val="004D1DFB"/>
    <w:rsid w:val="004D3161"/>
    <w:rsid w:val="004D32B8"/>
    <w:rsid w:val="004D379E"/>
    <w:rsid w:val="004D4DCE"/>
    <w:rsid w:val="004D63E4"/>
    <w:rsid w:val="004D658A"/>
    <w:rsid w:val="004D7079"/>
    <w:rsid w:val="004E10C7"/>
    <w:rsid w:val="004E4016"/>
    <w:rsid w:val="004E4154"/>
    <w:rsid w:val="004E4555"/>
    <w:rsid w:val="004E462F"/>
    <w:rsid w:val="004E5060"/>
    <w:rsid w:val="004E5F68"/>
    <w:rsid w:val="004E780A"/>
    <w:rsid w:val="004F1557"/>
    <w:rsid w:val="004F1956"/>
    <w:rsid w:val="004F2998"/>
    <w:rsid w:val="004F4317"/>
    <w:rsid w:val="004F4A92"/>
    <w:rsid w:val="004F4D3B"/>
    <w:rsid w:val="004F7BBC"/>
    <w:rsid w:val="004F7C28"/>
    <w:rsid w:val="0050162F"/>
    <w:rsid w:val="00501CCE"/>
    <w:rsid w:val="00502D96"/>
    <w:rsid w:val="005048EB"/>
    <w:rsid w:val="0050640E"/>
    <w:rsid w:val="00510711"/>
    <w:rsid w:val="00511810"/>
    <w:rsid w:val="0051239A"/>
    <w:rsid w:val="00513E9B"/>
    <w:rsid w:val="00514746"/>
    <w:rsid w:val="00514785"/>
    <w:rsid w:val="00516F18"/>
    <w:rsid w:val="005174F5"/>
    <w:rsid w:val="00517CA0"/>
    <w:rsid w:val="00520269"/>
    <w:rsid w:val="00520398"/>
    <w:rsid w:val="00522CBA"/>
    <w:rsid w:val="00524F7C"/>
    <w:rsid w:val="005315C6"/>
    <w:rsid w:val="00533BF6"/>
    <w:rsid w:val="00533F6A"/>
    <w:rsid w:val="005352F7"/>
    <w:rsid w:val="00537FF0"/>
    <w:rsid w:val="00540851"/>
    <w:rsid w:val="005412AA"/>
    <w:rsid w:val="00543AF0"/>
    <w:rsid w:val="00544435"/>
    <w:rsid w:val="00547F95"/>
    <w:rsid w:val="00552F71"/>
    <w:rsid w:val="00554B54"/>
    <w:rsid w:val="00555DF7"/>
    <w:rsid w:val="00556436"/>
    <w:rsid w:val="00556F71"/>
    <w:rsid w:val="005571D8"/>
    <w:rsid w:val="005574C6"/>
    <w:rsid w:val="00561B35"/>
    <w:rsid w:val="00562222"/>
    <w:rsid w:val="00565DBB"/>
    <w:rsid w:val="00570D43"/>
    <w:rsid w:val="0057143E"/>
    <w:rsid w:val="005718E9"/>
    <w:rsid w:val="005754CA"/>
    <w:rsid w:val="00577033"/>
    <w:rsid w:val="00583A51"/>
    <w:rsid w:val="00585F98"/>
    <w:rsid w:val="00586FE4"/>
    <w:rsid w:val="00592D2E"/>
    <w:rsid w:val="00593760"/>
    <w:rsid w:val="00593D9E"/>
    <w:rsid w:val="00594114"/>
    <w:rsid w:val="005A07DD"/>
    <w:rsid w:val="005A1A87"/>
    <w:rsid w:val="005A2B25"/>
    <w:rsid w:val="005A5D07"/>
    <w:rsid w:val="005A60CD"/>
    <w:rsid w:val="005A69C6"/>
    <w:rsid w:val="005B1F65"/>
    <w:rsid w:val="005B379A"/>
    <w:rsid w:val="005B7B31"/>
    <w:rsid w:val="005C1285"/>
    <w:rsid w:val="005C174E"/>
    <w:rsid w:val="005C19E2"/>
    <w:rsid w:val="005C23FB"/>
    <w:rsid w:val="005C3F77"/>
    <w:rsid w:val="005C42B3"/>
    <w:rsid w:val="005C5853"/>
    <w:rsid w:val="005C6546"/>
    <w:rsid w:val="005C745D"/>
    <w:rsid w:val="005C7ADA"/>
    <w:rsid w:val="005D008D"/>
    <w:rsid w:val="005D0356"/>
    <w:rsid w:val="005D4B8B"/>
    <w:rsid w:val="005D56F8"/>
    <w:rsid w:val="005D7236"/>
    <w:rsid w:val="005D78BD"/>
    <w:rsid w:val="005E22B3"/>
    <w:rsid w:val="005E2602"/>
    <w:rsid w:val="005E301F"/>
    <w:rsid w:val="005E604F"/>
    <w:rsid w:val="005E728D"/>
    <w:rsid w:val="005F2917"/>
    <w:rsid w:val="005F2D90"/>
    <w:rsid w:val="005F5F06"/>
    <w:rsid w:val="005F5F28"/>
    <w:rsid w:val="005F76E6"/>
    <w:rsid w:val="00600C0A"/>
    <w:rsid w:val="00606A64"/>
    <w:rsid w:val="006078F7"/>
    <w:rsid w:val="00607912"/>
    <w:rsid w:val="00607BB6"/>
    <w:rsid w:val="006104FD"/>
    <w:rsid w:val="0061060E"/>
    <w:rsid w:val="00612757"/>
    <w:rsid w:val="00613695"/>
    <w:rsid w:val="00613B84"/>
    <w:rsid w:val="0061444C"/>
    <w:rsid w:val="00614F42"/>
    <w:rsid w:val="0061694A"/>
    <w:rsid w:val="006169DF"/>
    <w:rsid w:val="00616DF6"/>
    <w:rsid w:val="00617826"/>
    <w:rsid w:val="00622145"/>
    <w:rsid w:val="0062241D"/>
    <w:rsid w:val="006234E4"/>
    <w:rsid w:val="00623B24"/>
    <w:rsid w:val="006251D6"/>
    <w:rsid w:val="00625D86"/>
    <w:rsid w:val="0062662A"/>
    <w:rsid w:val="00626F60"/>
    <w:rsid w:val="00627880"/>
    <w:rsid w:val="0062790D"/>
    <w:rsid w:val="0062793A"/>
    <w:rsid w:val="00631CDD"/>
    <w:rsid w:val="00632570"/>
    <w:rsid w:val="00633014"/>
    <w:rsid w:val="0063593A"/>
    <w:rsid w:val="00636009"/>
    <w:rsid w:val="00636198"/>
    <w:rsid w:val="00636BC8"/>
    <w:rsid w:val="00637EC6"/>
    <w:rsid w:val="006402E0"/>
    <w:rsid w:val="006406A6"/>
    <w:rsid w:val="0064109B"/>
    <w:rsid w:val="00643D05"/>
    <w:rsid w:val="00650F9A"/>
    <w:rsid w:val="00652477"/>
    <w:rsid w:val="00652E09"/>
    <w:rsid w:val="006550B7"/>
    <w:rsid w:val="0065650C"/>
    <w:rsid w:val="00657B41"/>
    <w:rsid w:val="00657F3B"/>
    <w:rsid w:val="00661C48"/>
    <w:rsid w:val="006634B6"/>
    <w:rsid w:val="0066546D"/>
    <w:rsid w:val="00665796"/>
    <w:rsid w:val="00666640"/>
    <w:rsid w:val="00667028"/>
    <w:rsid w:val="00670031"/>
    <w:rsid w:val="00672992"/>
    <w:rsid w:val="00672D6F"/>
    <w:rsid w:val="006750BE"/>
    <w:rsid w:val="00675641"/>
    <w:rsid w:val="00675C73"/>
    <w:rsid w:val="0067728B"/>
    <w:rsid w:val="006817F8"/>
    <w:rsid w:val="00681F1B"/>
    <w:rsid w:val="00682755"/>
    <w:rsid w:val="00683403"/>
    <w:rsid w:val="0068543E"/>
    <w:rsid w:val="00686738"/>
    <w:rsid w:val="0068747A"/>
    <w:rsid w:val="006959F6"/>
    <w:rsid w:val="00697246"/>
    <w:rsid w:val="00697D61"/>
    <w:rsid w:val="006A0EFC"/>
    <w:rsid w:val="006A151F"/>
    <w:rsid w:val="006A2E61"/>
    <w:rsid w:val="006A5AF5"/>
    <w:rsid w:val="006A6F4E"/>
    <w:rsid w:val="006A7313"/>
    <w:rsid w:val="006B021E"/>
    <w:rsid w:val="006B03D0"/>
    <w:rsid w:val="006B6253"/>
    <w:rsid w:val="006C1374"/>
    <w:rsid w:val="006C25EA"/>
    <w:rsid w:val="006C2954"/>
    <w:rsid w:val="006C549C"/>
    <w:rsid w:val="006C59C5"/>
    <w:rsid w:val="006C60AC"/>
    <w:rsid w:val="006C704F"/>
    <w:rsid w:val="006D08A7"/>
    <w:rsid w:val="006D1A95"/>
    <w:rsid w:val="006D218C"/>
    <w:rsid w:val="006D38E3"/>
    <w:rsid w:val="006D3C00"/>
    <w:rsid w:val="006D3C6F"/>
    <w:rsid w:val="006D4AA0"/>
    <w:rsid w:val="006D4BB7"/>
    <w:rsid w:val="006E2E2F"/>
    <w:rsid w:val="006E3383"/>
    <w:rsid w:val="006E40A9"/>
    <w:rsid w:val="006E523A"/>
    <w:rsid w:val="006E6031"/>
    <w:rsid w:val="006E6A23"/>
    <w:rsid w:val="006F2F2C"/>
    <w:rsid w:val="006F3B90"/>
    <w:rsid w:val="006F5EFE"/>
    <w:rsid w:val="006F6FC5"/>
    <w:rsid w:val="006F77A0"/>
    <w:rsid w:val="006F7ED6"/>
    <w:rsid w:val="00702FBD"/>
    <w:rsid w:val="007042B4"/>
    <w:rsid w:val="00704A44"/>
    <w:rsid w:val="007064D3"/>
    <w:rsid w:val="00707141"/>
    <w:rsid w:val="00707561"/>
    <w:rsid w:val="00711B60"/>
    <w:rsid w:val="0071268D"/>
    <w:rsid w:val="00713340"/>
    <w:rsid w:val="00713E8F"/>
    <w:rsid w:val="00714D7D"/>
    <w:rsid w:val="00716D8B"/>
    <w:rsid w:val="0071705D"/>
    <w:rsid w:val="007170F3"/>
    <w:rsid w:val="00717A3E"/>
    <w:rsid w:val="00717CC1"/>
    <w:rsid w:val="00720994"/>
    <w:rsid w:val="00720BAE"/>
    <w:rsid w:val="007214E9"/>
    <w:rsid w:val="0072194C"/>
    <w:rsid w:val="00723BE3"/>
    <w:rsid w:val="00724EFC"/>
    <w:rsid w:val="00727069"/>
    <w:rsid w:val="007314BC"/>
    <w:rsid w:val="00731FEE"/>
    <w:rsid w:val="007321DF"/>
    <w:rsid w:val="00732954"/>
    <w:rsid w:val="00735FBF"/>
    <w:rsid w:val="00737ECA"/>
    <w:rsid w:val="00743540"/>
    <w:rsid w:val="00744A5F"/>
    <w:rsid w:val="00745CA5"/>
    <w:rsid w:val="0074634C"/>
    <w:rsid w:val="0074772F"/>
    <w:rsid w:val="00751006"/>
    <w:rsid w:val="007533EA"/>
    <w:rsid w:val="007560BF"/>
    <w:rsid w:val="00756121"/>
    <w:rsid w:val="00756F20"/>
    <w:rsid w:val="00757906"/>
    <w:rsid w:val="007579F4"/>
    <w:rsid w:val="0076076E"/>
    <w:rsid w:val="00763CFE"/>
    <w:rsid w:val="00766156"/>
    <w:rsid w:val="00772651"/>
    <w:rsid w:val="0077307E"/>
    <w:rsid w:val="00773AB5"/>
    <w:rsid w:val="007761E7"/>
    <w:rsid w:val="007811E1"/>
    <w:rsid w:val="007819A0"/>
    <w:rsid w:val="00782A77"/>
    <w:rsid w:val="00784A76"/>
    <w:rsid w:val="00784F3F"/>
    <w:rsid w:val="00786133"/>
    <w:rsid w:val="0078642D"/>
    <w:rsid w:val="00787085"/>
    <w:rsid w:val="00790AC2"/>
    <w:rsid w:val="007927C3"/>
    <w:rsid w:val="0079314D"/>
    <w:rsid w:val="0079373C"/>
    <w:rsid w:val="00793CD4"/>
    <w:rsid w:val="007945BF"/>
    <w:rsid w:val="00794A6C"/>
    <w:rsid w:val="0079700B"/>
    <w:rsid w:val="007A37AA"/>
    <w:rsid w:val="007A4CF9"/>
    <w:rsid w:val="007A5A5F"/>
    <w:rsid w:val="007A6C0B"/>
    <w:rsid w:val="007B70E1"/>
    <w:rsid w:val="007B7B14"/>
    <w:rsid w:val="007C045D"/>
    <w:rsid w:val="007C0D21"/>
    <w:rsid w:val="007C35FE"/>
    <w:rsid w:val="007C74BD"/>
    <w:rsid w:val="007C7674"/>
    <w:rsid w:val="007C7DF2"/>
    <w:rsid w:val="007D1F74"/>
    <w:rsid w:val="007D2FDB"/>
    <w:rsid w:val="007D4408"/>
    <w:rsid w:val="007D4C92"/>
    <w:rsid w:val="007D4CCA"/>
    <w:rsid w:val="007D558C"/>
    <w:rsid w:val="007D6F03"/>
    <w:rsid w:val="007E18DB"/>
    <w:rsid w:val="007E3492"/>
    <w:rsid w:val="007E4E99"/>
    <w:rsid w:val="007E57F7"/>
    <w:rsid w:val="007F084B"/>
    <w:rsid w:val="007F0AB9"/>
    <w:rsid w:val="007F0D86"/>
    <w:rsid w:val="007F0FD6"/>
    <w:rsid w:val="007F2207"/>
    <w:rsid w:val="007F226C"/>
    <w:rsid w:val="007F22AD"/>
    <w:rsid w:val="007F32D9"/>
    <w:rsid w:val="007F39CC"/>
    <w:rsid w:val="007F3FBF"/>
    <w:rsid w:val="007F41D3"/>
    <w:rsid w:val="007F6B51"/>
    <w:rsid w:val="007F76F7"/>
    <w:rsid w:val="007F7F3F"/>
    <w:rsid w:val="008001F9"/>
    <w:rsid w:val="00800E40"/>
    <w:rsid w:val="00804668"/>
    <w:rsid w:val="00810777"/>
    <w:rsid w:val="0081120E"/>
    <w:rsid w:val="00811CA3"/>
    <w:rsid w:val="00814399"/>
    <w:rsid w:val="00814948"/>
    <w:rsid w:val="00815C7F"/>
    <w:rsid w:val="00823643"/>
    <w:rsid w:val="0082663E"/>
    <w:rsid w:val="00826DC3"/>
    <w:rsid w:val="00827DE5"/>
    <w:rsid w:val="0083019D"/>
    <w:rsid w:val="0083034F"/>
    <w:rsid w:val="00830860"/>
    <w:rsid w:val="008316B8"/>
    <w:rsid w:val="00832175"/>
    <w:rsid w:val="00832976"/>
    <w:rsid w:val="00836C04"/>
    <w:rsid w:val="0083735C"/>
    <w:rsid w:val="00841351"/>
    <w:rsid w:val="008413A4"/>
    <w:rsid w:val="00842C82"/>
    <w:rsid w:val="00843BB6"/>
    <w:rsid w:val="00844F21"/>
    <w:rsid w:val="00845913"/>
    <w:rsid w:val="00845C47"/>
    <w:rsid w:val="00847704"/>
    <w:rsid w:val="008506B0"/>
    <w:rsid w:val="0085086D"/>
    <w:rsid w:val="00851CF4"/>
    <w:rsid w:val="00851EA9"/>
    <w:rsid w:val="00851FCB"/>
    <w:rsid w:val="00852000"/>
    <w:rsid w:val="00852135"/>
    <w:rsid w:val="00853FC3"/>
    <w:rsid w:val="00854214"/>
    <w:rsid w:val="00854B88"/>
    <w:rsid w:val="00856BAF"/>
    <w:rsid w:val="00861942"/>
    <w:rsid w:val="008639A3"/>
    <w:rsid w:val="00866395"/>
    <w:rsid w:val="00870816"/>
    <w:rsid w:val="008714D1"/>
    <w:rsid w:val="00871C12"/>
    <w:rsid w:val="0087201D"/>
    <w:rsid w:val="00872D18"/>
    <w:rsid w:val="00872F4C"/>
    <w:rsid w:val="00873B1E"/>
    <w:rsid w:val="008745AE"/>
    <w:rsid w:val="00874D18"/>
    <w:rsid w:val="00875BE3"/>
    <w:rsid w:val="008773F4"/>
    <w:rsid w:val="00880EEC"/>
    <w:rsid w:val="00880FCD"/>
    <w:rsid w:val="0088226E"/>
    <w:rsid w:val="008825F4"/>
    <w:rsid w:val="008836A2"/>
    <w:rsid w:val="00884E5E"/>
    <w:rsid w:val="008867B7"/>
    <w:rsid w:val="00890517"/>
    <w:rsid w:val="008908FD"/>
    <w:rsid w:val="008919C6"/>
    <w:rsid w:val="0089257B"/>
    <w:rsid w:val="008926D1"/>
    <w:rsid w:val="008928BC"/>
    <w:rsid w:val="00892EFC"/>
    <w:rsid w:val="00894228"/>
    <w:rsid w:val="00896D47"/>
    <w:rsid w:val="008A0AF9"/>
    <w:rsid w:val="008A21B1"/>
    <w:rsid w:val="008A370A"/>
    <w:rsid w:val="008A3BDA"/>
    <w:rsid w:val="008A76EA"/>
    <w:rsid w:val="008A7B5E"/>
    <w:rsid w:val="008B0E5F"/>
    <w:rsid w:val="008B6B38"/>
    <w:rsid w:val="008B76BA"/>
    <w:rsid w:val="008C49F1"/>
    <w:rsid w:val="008C6C6F"/>
    <w:rsid w:val="008C7796"/>
    <w:rsid w:val="008C7A2A"/>
    <w:rsid w:val="008D0E78"/>
    <w:rsid w:val="008D3061"/>
    <w:rsid w:val="008D3409"/>
    <w:rsid w:val="008D35D4"/>
    <w:rsid w:val="008D36DD"/>
    <w:rsid w:val="008D3CCA"/>
    <w:rsid w:val="008D4A5F"/>
    <w:rsid w:val="008D73B1"/>
    <w:rsid w:val="008D751C"/>
    <w:rsid w:val="008E2056"/>
    <w:rsid w:val="008E29C3"/>
    <w:rsid w:val="008E39C0"/>
    <w:rsid w:val="008E4261"/>
    <w:rsid w:val="008E455D"/>
    <w:rsid w:val="008E55CB"/>
    <w:rsid w:val="008E6C58"/>
    <w:rsid w:val="008E7210"/>
    <w:rsid w:val="008E7276"/>
    <w:rsid w:val="008F360A"/>
    <w:rsid w:val="008F3E2A"/>
    <w:rsid w:val="008F633F"/>
    <w:rsid w:val="00900652"/>
    <w:rsid w:val="00901F84"/>
    <w:rsid w:val="00902244"/>
    <w:rsid w:val="009037CD"/>
    <w:rsid w:val="00910CD2"/>
    <w:rsid w:val="009114CC"/>
    <w:rsid w:val="00911507"/>
    <w:rsid w:val="009126C7"/>
    <w:rsid w:val="00912CC8"/>
    <w:rsid w:val="00913F96"/>
    <w:rsid w:val="00915074"/>
    <w:rsid w:val="00917140"/>
    <w:rsid w:val="00917152"/>
    <w:rsid w:val="00917F2D"/>
    <w:rsid w:val="00920C93"/>
    <w:rsid w:val="009216DD"/>
    <w:rsid w:val="009217CD"/>
    <w:rsid w:val="009248FE"/>
    <w:rsid w:val="00924AB1"/>
    <w:rsid w:val="009259C6"/>
    <w:rsid w:val="00925D21"/>
    <w:rsid w:val="00926A42"/>
    <w:rsid w:val="00926A89"/>
    <w:rsid w:val="00931B72"/>
    <w:rsid w:val="00932304"/>
    <w:rsid w:val="009340BA"/>
    <w:rsid w:val="00934179"/>
    <w:rsid w:val="009403C1"/>
    <w:rsid w:val="00940927"/>
    <w:rsid w:val="00942EF1"/>
    <w:rsid w:val="00943087"/>
    <w:rsid w:val="00947ABC"/>
    <w:rsid w:val="0095658E"/>
    <w:rsid w:val="00956D66"/>
    <w:rsid w:val="009618FE"/>
    <w:rsid w:val="0096196F"/>
    <w:rsid w:val="0096298B"/>
    <w:rsid w:val="009634C8"/>
    <w:rsid w:val="00967FDC"/>
    <w:rsid w:val="0097045D"/>
    <w:rsid w:val="0097048C"/>
    <w:rsid w:val="00970493"/>
    <w:rsid w:val="00972BD7"/>
    <w:rsid w:val="009748C4"/>
    <w:rsid w:val="00974FDA"/>
    <w:rsid w:val="0097578D"/>
    <w:rsid w:val="00976CE5"/>
    <w:rsid w:val="009834B3"/>
    <w:rsid w:val="0099288A"/>
    <w:rsid w:val="00992E92"/>
    <w:rsid w:val="00993D74"/>
    <w:rsid w:val="009A094F"/>
    <w:rsid w:val="009A0D68"/>
    <w:rsid w:val="009A2170"/>
    <w:rsid w:val="009A3C85"/>
    <w:rsid w:val="009A6EEF"/>
    <w:rsid w:val="009B016D"/>
    <w:rsid w:val="009B0B84"/>
    <w:rsid w:val="009B0D08"/>
    <w:rsid w:val="009B1D3C"/>
    <w:rsid w:val="009B2883"/>
    <w:rsid w:val="009B35AC"/>
    <w:rsid w:val="009B362E"/>
    <w:rsid w:val="009B3F36"/>
    <w:rsid w:val="009B3FAD"/>
    <w:rsid w:val="009B56C2"/>
    <w:rsid w:val="009B6068"/>
    <w:rsid w:val="009B6340"/>
    <w:rsid w:val="009C10E1"/>
    <w:rsid w:val="009C545A"/>
    <w:rsid w:val="009D1122"/>
    <w:rsid w:val="009D1338"/>
    <w:rsid w:val="009D5E3F"/>
    <w:rsid w:val="009E04B2"/>
    <w:rsid w:val="009E5022"/>
    <w:rsid w:val="009E538A"/>
    <w:rsid w:val="009E55D8"/>
    <w:rsid w:val="009E5729"/>
    <w:rsid w:val="009E5DD9"/>
    <w:rsid w:val="009E66BD"/>
    <w:rsid w:val="009E6CFA"/>
    <w:rsid w:val="009E73E0"/>
    <w:rsid w:val="009F052E"/>
    <w:rsid w:val="009F0948"/>
    <w:rsid w:val="009F24CE"/>
    <w:rsid w:val="009F453F"/>
    <w:rsid w:val="009F4797"/>
    <w:rsid w:val="009F4F9A"/>
    <w:rsid w:val="009F58B4"/>
    <w:rsid w:val="00A03B21"/>
    <w:rsid w:val="00A0424D"/>
    <w:rsid w:val="00A102F2"/>
    <w:rsid w:val="00A10D83"/>
    <w:rsid w:val="00A10FE1"/>
    <w:rsid w:val="00A137A4"/>
    <w:rsid w:val="00A13BA3"/>
    <w:rsid w:val="00A14BD7"/>
    <w:rsid w:val="00A15995"/>
    <w:rsid w:val="00A16DD5"/>
    <w:rsid w:val="00A22069"/>
    <w:rsid w:val="00A22AFD"/>
    <w:rsid w:val="00A231B7"/>
    <w:rsid w:val="00A25B97"/>
    <w:rsid w:val="00A263A6"/>
    <w:rsid w:val="00A2682C"/>
    <w:rsid w:val="00A3012C"/>
    <w:rsid w:val="00A303D2"/>
    <w:rsid w:val="00A30BD7"/>
    <w:rsid w:val="00A32C8E"/>
    <w:rsid w:val="00A33E77"/>
    <w:rsid w:val="00A345E9"/>
    <w:rsid w:val="00A40A67"/>
    <w:rsid w:val="00A4131A"/>
    <w:rsid w:val="00A42064"/>
    <w:rsid w:val="00A426E7"/>
    <w:rsid w:val="00A43734"/>
    <w:rsid w:val="00A451C4"/>
    <w:rsid w:val="00A4647D"/>
    <w:rsid w:val="00A46B71"/>
    <w:rsid w:val="00A51E74"/>
    <w:rsid w:val="00A52944"/>
    <w:rsid w:val="00A5319D"/>
    <w:rsid w:val="00A5446B"/>
    <w:rsid w:val="00A55124"/>
    <w:rsid w:val="00A56A66"/>
    <w:rsid w:val="00A57DBF"/>
    <w:rsid w:val="00A6139B"/>
    <w:rsid w:val="00A615CF"/>
    <w:rsid w:val="00A623D6"/>
    <w:rsid w:val="00A63A86"/>
    <w:rsid w:val="00A63ECD"/>
    <w:rsid w:val="00A64093"/>
    <w:rsid w:val="00A64C80"/>
    <w:rsid w:val="00A66922"/>
    <w:rsid w:val="00A67FE6"/>
    <w:rsid w:val="00A71BD2"/>
    <w:rsid w:val="00A7406E"/>
    <w:rsid w:val="00A7498F"/>
    <w:rsid w:val="00A74E27"/>
    <w:rsid w:val="00A77268"/>
    <w:rsid w:val="00A84F2B"/>
    <w:rsid w:val="00A8504B"/>
    <w:rsid w:val="00A85927"/>
    <w:rsid w:val="00A863CE"/>
    <w:rsid w:val="00A908BA"/>
    <w:rsid w:val="00A908E2"/>
    <w:rsid w:val="00A91183"/>
    <w:rsid w:val="00A91F6C"/>
    <w:rsid w:val="00A92AB6"/>
    <w:rsid w:val="00A95964"/>
    <w:rsid w:val="00A970B5"/>
    <w:rsid w:val="00A9713D"/>
    <w:rsid w:val="00A97D9E"/>
    <w:rsid w:val="00A97FE4"/>
    <w:rsid w:val="00AA067F"/>
    <w:rsid w:val="00AA1019"/>
    <w:rsid w:val="00AA2FBD"/>
    <w:rsid w:val="00AA5B47"/>
    <w:rsid w:val="00AA5BB6"/>
    <w:rsid w:val="00AA673B"/>
    <w:rsid w:val="00AA68DD"/>
    <w:rsid w:val="00AA70AB"/>
    <w:rsid w:val="00AB03DD"/>
    <w:rsid w:val="00AB0973"/>
    <w:rsid w:val="00AB09C9"/>
    <w:rsid w:val="00AB10A6"/>
    <w:rsid w:val="00AB2BAF"/>
    <w:rsid w:val="00AB392C"/>
    <w:rsid w:val="00AB3A2B"/>
    <w:rsid w:val="00AB3AB2"/>
    <w:rsid w:val="00AB478F"/>
    <w:rsid w:val="00AB532B"/>
    <w:rsid w:val="00AB6C08"/>
    <w:rsid w:val="00AB7416"/>
    <w:rsid w:val="00AB784F"/>
    <w:rsid w:val="00AC0168"/>
    <w:rsid w:val="00AC1CF6"/>
    <w:rsid w:val="00AC3266"/>
    <w:rsid w:val="00AC6A8C"/>
    <w:rsid w:val="00AC7044"/>
    <w:rsid w:val="00AC7339"/>
    <w:rsid w:val="00AD0D6D"/>
    <w:rsid w:val="00AD1E87"/>
    <w:rsid w:val="00AD44AA"/>
    <w:rsid w:val="00AD4889"/>
    <w:rsid w:val="00AD5739"/>
    <w:rsid w:val="00AD7687"/>
    <w:rsid w:val="00AE16F1"/>
    <w:rsid w:val="00AE19CB"/>
    <w:rsid w:val="00AE23D3"/>
    <w:rsid w:val="00AE7068"/>
    <w:rsid w:val="00AE7ADB"/>
    <w:rsid w:val="00AF0039"/>
    <w:rsid w:val="00AF10A8"/>
    <w:rsid w:val="00AF5C1E"/>
    <w:rsid w:val="00AF6885"/>
    <w:rsid w:val="00B0232C"/>
    <w:rsid w:val="00B06068"/>
    <w:rsid w:val="00B070CF"/>
    <w:rsid w:val="00B07118"/>
    <w:rsid w:val="00B11B98"/>
    <w:rsid w:val="00B12154"/>
    <w:rsid w:val="00B12CB3"/>
    <w:rsid w:val="00B14CB5"/>
    <w:rsid w:val="00B15500"/>
    <w:rsid w:val="00B177D6"/>
    <w:rsid w:val="00B178DF"/>
    <w:rsid w:val="00B21CBD"/>
    <w:rsid w:val="00B254D8"/>
    <w:rsid w:val="00B25EB2"/>
    <w:rsid w:val="00B312C8"/>
    <w:rsid w:val="00B31409"/>
    <w:rsid w:val="00B33F1A"/>
    <w:rsid w:val="00B34610"/>
    <w:rsid w:val="00B34ABB"/>
    <w:rsid w:val="00B357C0"/>
    <w:rsid w:val="00B36109"/>
    <w:rsid w:val="00B40738"/>
    <w:rsid w:val="00B408FB"/>
    <w:rsid w:val="00B411EA"/>
    <w:rsid w:val="00B413E5"/>
    <w:rsid w:val="00B41E48"/>
    <w:rsid w:val="00B42FD4"/>
    <w:rsid w:val="00B43468"/>
    <w:rsid w:val="00B43872"/>
    <w:rsid w:val="00B44385"/>
    <w:rsid w:val="00B44D85"/>
    <w:rsid w:val="00B472FD"/>
    <w:rsid w:val="00B474A1"/>
    <w:rsid w:val="00B4758B"/>
    <w:rsid w:val="00B5023E"/>
    <w:rsid w:val="00B50418"/>
    <w:rsid w:val="00B509FD"/>
    <w:rsid w:val="00B50FCE"/>
    <w:rsid w:val="00B511A6"/>
    <w:rsid w:val="00B519D1"/>
    <w:rsid w:val="00B51D2F"/>
    <w:rsid w:val="00B532EA"/>
    <w:rsid w:val="00B53EB5"/>
    <w:rsid w:val="00B551B8"/>
    <w:rsid w:val="00B5554A"/>
    <w:rsid w:val="00B55E7A"/>
    <w:rsid w:val="00B573C7"/>
    <w:rsid w:val="00B6020D"/>
    <w:rsid w:val="00B62299"/>
    <w:rsid w:val="00B63699"/>
    <w:rsid w:val="00B66C11"/>
    <w:rsid w:val="00B66E53"/>
    <w:rsid w:val="00B6777E"/>
    <w:rsid w:val="00B71186"/>
    <w:rsid w:val="00B717B1"/>
    <w:rsid w:val="00B7192A"/>
    <w:rsid w:val="00B71BF1"/>
    <w:rsid w:val="00B71D12"/>
    <w:rsid w:val="00B71F6D"/>
    <w:rsid w:val="00B72A27"/>
    <w:rsid w:val="00B72C4A"/>
    <w:rsid w:val="00B753CA"/>
    <w:rsid w:val="00B76698"/>
    <w:rsid w:val="00B76B19"/>
    <w:rsid w:val="00B77491"/>
    <w:rsid w:val="00B77A7C"/>
    <w:rsid w:val="00B800AB"/>
    <w:rsid w:val="00B80C82"/>
    <w:rsid w:val="00B81572"/>
    <w:rsid w:val="00B8375A"/>
    <w:rsid w:val="00B83C64"/>
    <w:rsid w:val="00B86F6E"/>
    <w:rsid w:val="00B93C43"/>
    <w:rsid w:val="00B93EAA"/>
    <w:rsid w:val="00B96BD5"/>
    <w:rsid w:val="00BA0E27"/>
    <w:rsid w:val="00BA2F5A"/>
    <w:rsid w:val="00BA30AE"/>
    <w:rsid w:val="00BA4971"/>
    <w:rsid w:val="00BA5533"/>
    <w:rsid w:val="00BA593B"/>
    <w:rsid w:val="00BA5BD0"/>
    <w:rsid w:val="00BA7E42"/>
    <w:rsid w:val="00BB0591"/>
    <w:rsid w:val="00BB1AA9"/>
    <w:rsid w:val="00BB1C6A"/>
    <w:rsid w:val="00BB579E"/>
    <w:rsid w:val="00BB5A7B"/>
    <w:rsid w:val="00BB6C71"/>
    <w:rsid w:val="00BC11A8"/>
    <w:rsid w:val="00BC2BD2"/>
    <w:rsid w:val="00BC3F02"/>
    <w:rsid w:val="00BC40CD"/>
    <w:rsid w:val="00BC4B5E"/>
    <w:rsid w:val="00BD3885"/>
    <w:rsid w:val="00BD6963"/>
    <w:rsid w:val="00BD761D"/>
    <w:rsid w:val="00BE43BB"/>
    <w:rsid w:val="00BE473C"/>
    <w:rsid w:val="00BE620A"/>
    <w:rsid w:val="00BE6AAE"/>
    <w:rsid w:val="00BE7B6E"/>
    <w:rsid w:val="00BF06CF"/>
    <w:rsid w:val="00BF1C05"/>
    <w:rsid w:val="00BF2620"/>
    <w:rsid w:val="00BF373C"/>
    <w:rsid w:val="00BF7DF3"/>
    <w:rsid w:val="00C00552"/>
    <w:rsid w:val="00C00B3A"/>
    <w:rsid w:val="00C01949"/>
    <w:rsid w:val="00C03B9E"/>
    <w:rsid w:val="00C065A6"/>
    <w:rsid w:val="00C07422"/>
    <w:rsid w:val="00C1233C"/>
    <w:rsid w:val="00C1470C"/>
    <w:rsid w:val="00C15F01"/>
    <w:rsid w:val="00C16D53"/>
    <w:rsid w:val="00C20B38"/>
    <w:rsid w:val="00C27898"/>
    <w:rsid w:val="00C32DE9"/>
    <w:rsid w:val="00C33D3C"/>
    <w:rsid w:val="00C33E91"/>
    <w:rsid w:val="00C34EDA"/>
    <w:rsid w:val="00C35142"/>
    <w:rsid w:val="00C35FD2"/>
    <w:rsid w:val="00C36096"/>
    <w:rsid w:val="00C36C15"/>
    <w:rsid w:val="00C378CA"/>
    <w:rsid w:val="00C41DD3"/>
    <w:rsid w:val="00C42278"/>
    <w:rsid w:val="00C44742"/>
    <w:rsid w:val="00C44AB7"/>
    <w:rsid w:val="00C46767"/>
    <w:rsid w:val="00C50071"/>
    <w:rsid w:val="00C50C68"/>
    <w:rsid w:val="00C52AC5"/>
    <w:rsid w:val="00C531FE"/>
    <w:rsid w:val="00C5339B"/>
    <w:rsid w:val="00C538D7"/>
    <w:rsid w:val="00C53B22"/>
    <w:rsid w:val="00C57F05"/>
    <w:rsid w:val="00C60757"/>
    <w:rsid w:val="00C61D1C"/>
    <w:rsid w:val="00C63CA3"/>
    <w:rsid w:val="00C64459"/>
    <w:rsid w:val="00C65099"/>
    <w:rsid w:val="00C65D54"/>
    <w:rsid w:val="00C6642C"/>
    <w:rsid w:val="00C72A9D"/>
    <w:rsid w:val="00C72AA6"/>
    <w:rsid w:val="00C74C40"/>
    <w:rsid w:val="00C80A64"/>
    <w:rsid w:val="00C8219D"/>
    <w:rsid w:val="00C824AB"/>
    <w:rsid w:val="00C84FB0"/>
    <w:rsid w:val="00C860EF"/>
    <w:rsid w:val="00C86FB5"/>
    <w:rsid w:val="00C87340"/>
    <w:rsid w:val="00C87F2E"/>
    <w:rsid w:val="00C90BC7"/>
    <w:rsid w:val="00C918AA"/>
    <w:rsid w:val="00C92800"/>
    <w:rsid w:val="00C92F9A"/>
    <w:rsid w:val="00C93D2E"/>
    <w:rsid w:val="00C93FAC"/>
    <w:rsid w:val="00C949A4"/>
    <w:rsid w:val="00C95FC4"/>
    <w:rsid w:val="00C9602D"/>
    <w:rsid w:val="00C96354"/>
    <w:rsid w:val="00C97F6E"/>
    <w:rsid w:val="00CA0A0B"/>
    <w:rsid w:val="00CA501B"/>
    <w:rsid w:val="00CA6885"/>
    <w:rsid w:val="00CB1561"/>
    <w:rsid w:val="00CB3A45"/>
    <w:rsid w:val="00CB3F13"/>
    <w:rsid w:val="00CB4906"/>
    <w:rsid w:val="00CB7071"/>
    <w:rsid w:val="00CB752D"/>
    <w:rsid w:val="00CB7B86"/>
    <w:rsid w:val="00CC0349"/>
    <w:rsid w:val="00CC212C"/>
    <w:rsid w:val="00CC3626"/>
    <w:rsid w:val="00CD00D2"/>
    <w:rsid w:val="00CD35CF"/>
    <w:rsid w:val="00CD387D"/>
    <w:rsid w:val="00CD53FF"/>
    <w:rsid w:val="00CD6497"/>
    <w:rsid w:val="00CD782A"/>
    <w:rsid w:val="00CE230B"/>
    <w:rsid w:val="00CE4611"/>
    <w:rsid w:val="00CE57DE"/>
    <w:rsid w:val="00CF0241"/>
    <w:rsid w:val="00CF20BC"/>
    <w:rsid w:val="00CF2DB2"/>
    <w:rsid w:val="00CF478F"/>
    <w:rsid w:val="00CF6704"/>
    <w:rsid w:val="00CF6878"/>
    <w:rsid w:val="00CF789C"/>
    <w:rsid w:val="00D00CA1"/>
    <w:rsid w:val="00D01013"/>
    <w:rsid w:val="00D06103"/>
    <w:rsid w:val="00D10611"/>
    <w:rsid w:val="00D12E66"/>
    <w:rsid w:val="00D13AF5"/>
    <w:rsid w:val="00D13EA8"/>
    <w:rsid w:val="00D15132"/>
    <w:rsid w:val="00D154EC"/>
    <w:rsid w:val="00D16F0A"/>
    <w:rsid w:val="00D17288"/>
    <w:rsid w:val="00D17880"/>
    <w:rsid w:val="00D17D94"/>
    <w:rsid w:val="00D204AE"/>
    <w:rsid w:val="00D20C7D"/>
    <w:rsid w:val="00D22798"/>
    <w:rsid w:val="00D25AB8"/>
    <w:rsid w:val="00D25DA2"/>
    <w:rsid w:val="00D26B46"/>
    <w:rsid w:val="00D31560"/>
    <w:rsid w:val="00D31720"/>
    <w:rsid w:val="00D3195B"/>
    <w:rsid w:val="00D31B4C"/>
    <w:rsid w:val="00D32273"/>
    <w:rsid w:val="00D32D8A"/>
    <w:rsid w:val="00D342BC"/>
    <w:rsid w:val="00D35178"/>
    <w:rsid w:val="00D355E1"/>
    <w:rsid w:val="00D3698E"/>
    <w:rsid w:val="00D37EFF"/>
    <w:rsid w:val="00D40786"/>
    <w:rsid w:val="00D41874"/>
    <w:rsid w:val="00D42658"/>
    <w:rsid w:val="00D43922"/>
    <w:rsid w:val="00D448CC"/>
    <w:rsid w:val="00D44932"/>
    <w:rsid w:val="00D4632D"/>
    <w:rsid w:val="00D514ED"/>
    <w:rsid w:val="00D52CA6"/>
    <w:rsid w:val="00D54B48"/>
    <w:rsid w:val="00D55347"/>
    <w:rsid w:val="00D55C2A"/>
    <w:rsid w:val="00D564C0"/>
    <w:rsid w:val="00D57217"/>
    <w:rsid w:val="00D624D3"/>
    <w:rsid w:val="00D62A43"/>
    <w:rsid w:val="00D62F96"/>
    <w:rsid w:val="00D63CC1"/>
    <w:rsid w:val="00D65609"/>
    <w:rsid w:val="00D65F2A"/>
    <w:rsid w:val="00D66DA2"/>
    <w:rsid w:val="00D67510"/>
    <w:rsid w:val="00D67EA1"/>
    <w:rsid w:val="00D72719"/>
    <w:rsid w:val="00D73F02"/>
    <w:rsid w:val="00D76234"/>
    <w:rsid w:val="00D76775"/>
    <w:rsid w:val="00D802F5"/>
    <w:rsid w:val="00D84F04"/>
    <w:rsid w:val="00D85AA6"/>
    <w:rsid w:val="00D871F7"/>
    <w:rsid w:val="00D91D2A"/>
    <w:rsid w:val="00D91F4D"/>
    <w:rsid w:val="00D928D5"/>
    <w:rsid w:val="00D92AE7"/>
    <w:rsid w:val="00D93FC3"/>
    <w:rsid w:val="00D964D0"/>
    <w:rsid w:val="00D96DCA"/>
    <w:rsid w:val="00DA1C30"/>
    <w:rsid w:val="00DA7AFB"/>
    <w:rsid w:val="00DB062B"/>
    <w:rsid w:val="00DB1C08"/>
    <w:rsid w:val="00DB3414"/>
    <w:rsid w:val="00DB5171"/>
    <w:rsid w:val="00DB6D0A"/>
    <w:rsid w:val="00DC0C3E"/>
    <w:rsid w:val="00DC0EEA"/>
    <w:rsid w:val="00DC1307"/>
    <w:rsid w:val="00DC24C4"/>
    <w:rsid w:val="00DC2854"/>
    <w:rsid w:val="00DC2BE6"/>
    <w:rsid w:val="00DC40B1"/>
    <w:rsid w:val="00DD055E"/>
    <w:rsid w:val="00DD06FE"/>
    <w:rsid w:val="00DD13A3"/>
    <w:rsid w:val="00DD3DB1"/>
    <w:rsid w:val="00DE0005"/>
    <w:rsid w:val="00DE073E"/>
    <w:rsid w:val="00DE09D1"/>
    <w:rsid w:val="00DE0B08"/>
    <w:rsid w:val="00DE0E72"/>
    <w:rsid w:val="00DE25B0"/>
    <w:rsid w:val="00DE2BBF"/>
    <w:rsid w:val="00DE2D50"/>
    <w:rsid w:val="00DE3FD4"/>
    <w:rsid w:val="00DE4941"/>
    <w:rsid w:val="00DE59BC"/>
    <w:rsid w:val="00DE5DB5"/>
    <w:rsid w:val="00DE6157"/>
    <w:rsid w:val="00DE72D0"/>
    <w:rsid w:val="00DF2C6C"/>
    <w:rsid w:val="00DF2C97"/>
    <w:rsid w:val="00DF4E96"/>
    <w:rsid w:val="00DF5438"/>
    <w:rsid w:val="00DF5887"/>
    <w:rsid w:val="00DF6304"/>
    <w:rsid w:val="00DF6637"/>
    <w:rsid w:val="00E0289D"/>
    <w:rsid w:val="00E04215"/>
    <w:rsid w:val="00E052B2"/>
    <w:rsid w:val="00E06721"/>
    <w:rsid w:val="00E07F8E"/>
    <w:rsid w:val="00E10631"/>
    <w:rsid w:val="00E10CE1"/>
    <w:rsid w:val="00E110BE"/>
    <w:rsid w:val="00E12755"/>
    <w:rsid w:val="00E12C16"/>
    <w:rsid w:val="00E13481"/>
    <w:rsid w:val="00E14984"/>
    <w:rsid w:val="00E16162"/>
    <w:rsid w:val="00E17975"/>
    <w:rsid w:val="00E21188"/>
    <w:rsid w:val="00E23A32"/>
    <w:rsid w:val="00E24315"/>
    <w:rsid w:val="00E274BD"/>
    <w:rsid w:val="00E27630"/>
    <w:rsid w:val="00E31437"/>
    <w:rsid w:val="00E32FBB"/>
    <w:rsid w:val="00E348A2"/>
    <w:rsid w:val="00E401CF"/>
    <w:rsid w:val="00E408FB"/>
    <w:rsid w:val="00E41BDA"/>
    <w:rsid w:val="00E42026"/>
    <w:rsid w:val="00E4308E"/>
    <w:rsid w:val="00E44EBE"/>
    <w:rsid w:val="00E4508F"/>
    <w:rsid w:val="00E4510F"/>
    <w:rsid w:val="00E465BC"/>
    <w:rsid w:val="00E46B17"/>
    <w:rsid w:val="00E46E09"/>
    <w:rsid w:val="00E46E2D"/>
    <w:rsid w:val="00E541D3"/>
    <w:rsid w:val="00E54D6D"/>
    <w:rsid w:val="00E57D1F"/>
    <w:rsid w:val="00E610B3"/>
    <w:rsid w:val="00E62A0D"/>
    <w:rsid w:val="00E62EEC"/>
    <w:rsid w:val="00E62F2A"/>
    <w:rsid w:val="00E66762"/>
    <w:rsid w:val="00E66ECD"/>
    <w:rsid w:val="00E70767"/>
    <w:rsid w:val="00E70A36"/>
    <w:rsid w:val="00E71599"/>
    <w:rsid w:val="00E72D1F"/>
    <w:rsid w:val="00E758C5"/>
    <w:rsid w:val="00E805E0"/>
    <w:rsid w:val="00E834B0"/>
    <w:rsid w:val="00E853A3"/>
    <w:rsid w:val="00E86218"/>
    <w:rsid w:val="00E86312"/>
    <w:rsid w:val="00E86CC7"/>
    <w:rsid w:val="00E86DE7"/>
    <w:rsid w:val="00E91AF2"/>
    <w:rsid w:val="00E930C4"/>
    <w:rsid w:val="00E93A13"/>
    <w:rsid w:val="00E94339"/>
    <w:rsid w:val="00E94A05"/>
    <w:rsid w:val="00E97172"/>
    <w:rsid w:val="00E9739C"/>
    <w:rsid w:val="00E97BED"/>
    <w:rsid w:val="00E97C53"/>
    <w:rsid w:val="00EA11FD"/>
    <w:rsid w:val="00EA2529"/>
    <w:rsid w:val="00EA2F0C"/>
    <w:rsid w:val="00EA3710"/>
    <w:rsid w:val="00EA443B"/>
    <w:rsid w:val="00EA7C58"/>
    <w:rsid w:val="00EB0338"/>
    <w:rsid w:val="00EB0EEF"/>
    <w:rsid w:val="00EB2A32"/>
    <w:rsid w:val="00EB2F5F"/>
    <w:rsid w:val="00EB3215"/>
    <w:rsid w:val="00EB3870"/>
    <w:rsid w:val="00EB5C17"/>
    <w:rsid w:val="00EB639C"/>
    <w:rsid w:val="00EB66AC"/>
    <w:rsid w:val="00EB6BD6"/>
    <w:rsid w:val="00EC2630"/>
    <w:rsid w:val="00EC4B2D"/>
    <w:rsid w:val="00EC7FD7"/>
    <w:rsid w:val="00ED074B"/>
    <w:rsid w:val="00ED0849"/>
    <w:rsid w:val="00ED0EF5"/>
    <w:rsid w:val="00ED2C5B"/>
    <w:rsid w:val="00ED4C58"/>
    <w:rsid w:val="00EE020C"/>
    <w:rsid w:val="00EE156C"/>
    <w:rsid w:val="00EE4175"/>
    <w:rsid w:val="00EE69C8"/>
    <w:rsid w:val="00EF097B"/>
    <w:rsid w:val="00EF1C07"/>
    <w:rsid w:val="00EF26B9"/>
    <w:rsid w:val="00EF2E6B"/>
    <w:rsid w:val="00EF36F2"/>
    <w:rsid w:val="00EF40E7"/>
    <w:rsid w:val="00EF49CD"/>
    <w:rsid w:val="00EF79F7"/>
    <w:rsid w:val="00F01884"/>
    <w:rsid w:val="00F01D46"/>
    <w:rsid w:val="00F03603"/>
    <w:rsid w:val="00F06396"/>
    <w:rsid w:val="00F06E9F"/>
    <w:rsid w:val="00F11FD7"/>
    <w:rsid w:val="00F12070"/>
    <w:rsid w:val="00F1493F"/>
    <w:rsid w:val="00F16008"/>
    <w:rsid w:val="00F17E5C"/>
    <w:rsid w:val="00F17E95"/>
    <w:rsid w:val="00F22E1C"/>
    <w:rsid w:val="00F244AE"/>
    <w:rsid w:val="00F2461A"/>
    <w:rsid w:val="00F24C08"/>
    <w:rsid w:val="00F27CE7"/>
    <w:rsid w:val="00F3349D"/>
    <w:rsid w:val="00F3471B"/>
    <w:rsid w:val="00F35D8C"/>
    <w:rsid w:val="00F37E23"/>
    <w:rsid w:val="00F37F70"/>
    <w:rsid w:val="00F37FAF"/>
    <w:rsid w:val="00F41E3C"/>
    <w:rsid w:val="00F42FA9"/>
    <w:rsid w:val="00F447FC"/>
    <w:rsid w:val="00F44EE9"/>
    <w:rsid w:val="00F46534"/>
    <w:rsid w:val="00F46D99"/>
    <w:rsid w:val="00F47C7D"/>
    <w:rsid w:val="00F5282F"/>
    <w:rsid w:val="00F565A6"/>
    <w:rsid w:val="00F56C23"/>
    <w:rsid w:val="00F57686"/>
    <w:rsid w:val="00F61889"/>
    <w:rsid w:val="00F620D9"/>
    <w:rsid w:val="00F63DF1"/>
    <w:rsid w:val="00F64370"/>
    <w:rsid w:val="00F649D9"/>
    <w:rsid w:val="00F66608"/>
    <w:rsid w:val="00F673BE"/>
    <w:rsid w:val="00F6793C"/>
    <w:rsid w:val="00F70436"/>
    <w:rsid w:val="00F70D70"/>
    <w:rsid w:val="00F71DE4"/>
    <w:rsid w:val="00F75082"/>
    <w:rsid w:val="00F7516C"/>
    <w:rsid w:val="00F76889"/>
    <w:rsid w:val="00F7711F"/>
    <w:rsid w:val="00F83CA8"/>
    <w:rsid w:val="00F841D4"/>
    <w:rsid w:val="00F846B5"/>
    <w:rsid w:val="00F869C3"/>
    <w:rsid w:val="00F902D1"/>
    <w:rsid w:val="00F912E3"/>
    <w:rsid w:val="00F92834"/>
    <w:rsid w:val="00F9390E"/>
    <w:rsid w:val="00F942C3"/>
    <w:rsid w:val="00F95137"/>
    <w:rsid w:val="00F96DCA"/>
    <w:rsid w:val="00F96E72"/>
    <w:rsid w:val="00FA086D"/>
    <w:rsid w:val="00FA0B1B"/>
    <w:rsid w:val="00FA1908"/>
    <w:rsid w:val="00FA6A50"/>
    <w:rsid w:val="00FB070C"/>
    <w:rsid w:val="00FB0724"/>
    <w:rsid w:val="00FC0285"/>
    <w:rsid w:val="00FC20A5"/>
    <w:rsid w:val="00FC28EE"/>
    <w:rsid w:val="00FC440A"/>
    <w:rsid w:val="00FC4B6A"/>
    <w:rsid w:val="00FC4F2F"/>
    <w:rsid w:val="00FC774F"/>
    <w:rsid w:val="00FC7954"/>
    <w:rsid w:val="00FD0884"/>
    <w:rsid w:val="00FD1F6D"/>
    <w:rsid w:val="00FD21E2"/>
    <w:rsid w:val="00FD38BA"/>
    <w:rsid w:val="00FD52A5"/>
    <w:rsid w:val="00FD688E"/>
    <w:rsid w:val="00FD6B38"/>
    <w:rsid w:val="00FE3079"/>
    <w:rsid w:val="00FE3160"/>
    <w:rsid w:val="00FE4283"/>
    <w:rsid w:val="00FE4E2A"/>
    <w:rsid w:val="00FE7D8D"/>
    <w:rsid w:val="00FF164D"/>
    <w:rsid w:val="00FF40EB"/>
    <w:rsid w:val="00FF4558"/>
    <w:rsid w:val="00FF5AF6"/>
    <w:rsid w:val="00FF5BEE"/>
    <w:rsid w:val="00FF6211"/>
    <w:rsid w:val="00FF7613"/>
  </w:rsids>
  <m:mathPr>
    <m:mathFont m:val="Cambria Math"/>
    <m:brkBin m:val="before"/>
    <m:brkBinSub m:val="--"/>
    <m:smallFrac m:val="0"/>
    <m:dispDef/>
    <m:lMargin m:val="0"/>
    <m:rMargin m:val="0"/>
    <m:defJc m:val="centerGroup"/>
    <m:wrapIndent m:val="1440"/>
    <m:intLim m:val="subSup"/>
    <m:naryLim m:val="undOvr"/>
  </m:mathPr>
  <w:themeFontLang w:val="es-PE"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322E02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PE" w:eastAsia="es-PE" w:bidi="ar-SA"/>
      </w:rPr>
    </w:rPrDefault>
    <w:pPrDefault/>
  </w:docDefaults>
  <w:latentStyles w:defLockedState="0" w:defUIPriority="0" w:defSemiHidden="0" w:defUnhideWhenUsed="0" w:defQFormat="0" w:count="2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caption" w:semiHidden="1" w:unhideWhenUsed="1" w:qFormat="1"/>
    <w:lsdException w:name="footnote reference" w:uiPriority="99"/>
    <w:lsdException w:name="annotation reference" w:uiPriority="99"/>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64093"/>
    <w:pPr>
      <w:widowControl w:val="0"/>
      <w:adjustRightInd w:val="0"/>
      <w:spacing w:line="360" w:lineRule="atLeast"/>
      <w:jc w:val="both"/>
      <w:textAlignment w:val="baseline"/>
    </w:pPr>
    <w:rPr>
      <w:rFonts w:ascii="Arial" w:hAnsi="Arial"/>
      <w:sz w:val="24"/>
      <w:lang w:val="es-ES"/>
    </w:rPr>
  </w:style>
  <w:style w:type="paragraph" w:styleId="Ttulo1">
    <w:name w:val="heading 1"/>
    <w:basedOn w:val="Normal"/>
    <w:next w:val="Normal"/>
    <w:qFormat/>
    <w:rsid w:val="001D6999"/>
    <w:pPr>
      <w:keepNext/>
      <w:spacing w:before="240" w:after="60"/>
      <w:outlineLvl w:val="0"/>
    </w:pPr>
    <w:rPr>
      <w:rFonts w:cs="Arial"/>
      <w:b/>
      <w:bCs/>
      <w:kern w:val="32"/>
      <w:sz w:val="32"/>
      <w:szCs w:val="32"/>
    </w:rPr>
  </w:style>
  <w:style w:type="paragraph" w:styleId="Ttulo2">
    <w:name w:val="heading 2"/>
    <w:basedOn w:val="Normal"/>
    <w:next w:val="Normal"/>
    <w:qFormat/>
    <w:rsid w:val="00A64093"/>
    <w:pPr>
      <w:keepNext/>
      <w:spacing w:before="240" w:after="60"/>
      <w:outlineLvl w:val="1"/>
    </w:pPr>
    <w:rPr>
      <w:rFonts w:cs="Arial"/>
      <w:b/>
      <w:bCs/>
      <w:iCs/>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rrafodelista1">
    <w:name w:val="Párrafo de lista1"/>
    <w:basedOn w:val="Normal"/>
    <w:rsid w:val="00EB66AC"/>
    <w:pPr>
      <w:ind w:left="720"/>
    </w:pPr>
    <w:rPr>
      <w:rFonts w:eastAsia="Calibri"/>
    </w:rPr>
  </w:style>
  <w:style w:type="paragraph" w:customStyle="1" w:styleId="Derechi">
    <w:name w:val="Derechi"/>
    <w:basedOn w:val="Normal"/>
    <w:rsid w:val="001D6999"/>
    <w:pPr>
      <w:widowControl/>
      <w:adjustRightInd/>
      <w:spacing w:line="240" w:lineRule="auto"/>
      <w:ind w:left="5954"/>
      <w:textAlignment w:val="auto"/>
    </w:pPr>
    <w:rPr>
      <w:snapToGrid w:val="0"/>
      <w:lang w:val="es-ES_tradnl" w:eastAsia="es-ES"/>
    </w:rPr>
  </w:style>
  <w:style w:type="paragraph" w:styleId="Ttulo">
    <w:name w:val="Title"/>
    <w:basedOn w:val="Normal"/>
    <w:qFormat/>
    <w:rsid w:val="001D6999"/>
    <w:pPr>
      <w:widowControl/>
      <w:adjustRightInd/>
      <w:spacing w:line="240" w:lineRule="auto"/>
      <w:ind w:left="142"/>
      <w:jc w:val="center"/>
      <w:textAlignment w:val="auto"/>
    </w:pPr>
    <w:rPr>
      <w:b/>
      <w:sz w:val="21"/>
      <w:lang w:val="es-ES_tradnl" w:eastAsia="es-ES"/>
    </w:rPr>
  </w:style>
  <w:style w:type="paragraph" w:styleId="Textonotapie">
    <w:name w:val="footnote text"/>
    <w:aliases w:val="Texto nota pie Car,fn Car,footnote text Car,Footnotes Car,Footnote ak Car Car,Texto nota pie Car Car,fn Car Car,footnote text Car Car,Footnotes Car Car,Footnote ak Car,Footnote Text Char,fn,footnote text,Footnotes,Footnote ak,ft,fn cafc"/>
    <w:basedOn w:val="Normal"/>
    <w:link w:val="TextonotapieCar1"/>
    <w:uiPriority w:val="99"/>
    <w:rsid w:val="00EF79F7"/>
    <w:rPr>
      <w:sz w:val="20"/>
    </w:rPr>
  </w:style>
  <w:style w:type="character" w:styleId="Refdenotaalpie">
    <w:name w:val="footnote reference"/>
    <w:aliases w:val="Ref,de nota al pie"/>
    <w:basedOn w:val="Fuentedeprrafopredeter"/>
    <w:uiPriority w:val="99"/>
    <w:rsid w:val="00EF79F7"/>
    <w:rPr>
      <w:vertAlign w:val="superscript"/>
    </w:rPr>
  </w:style>
  <w:style w:type="character" w:styleId="CitaHTML">
    <w:name w:val="HTML Cite"/>
    <w:basedOn w:val="Fuentedeprrafopredeter"/>
    <w:rsid w:val="00EF79F7"/>
    <w:rPr>
      <w:i/>
      <w:iCs/>
    </w:rPr>
  </w:style>
  <w:style w:type="character" w:styleId="Hipervnculo">
    <w:name w:val="Hyperlink"/>
    <w:basedOn w:val="Fuentedeprrafopredeter"/>
    <w:rsid w:val="00EF79F7"/>
    <w:rPr>
      <w:color w:val="0000FF"/>
      <w:u w:val="single"/>
    </w:rPr>
  </w:style>
  <w:style w:type="character" w:customStyle="1" w:styleId="TextonotapieCar1">
    <w:name w:val="Texto nota pie Car1"/>
    <w:aliases w:val="Texto nota pie Car Car1,fn Car Car1,footnote text Car Car1,Footnotes Car Car1,Footnote ak Car Car Car,Texto nota pie Car Car Car,fn Car Car Car,footnote text Car Car Car,Footnotes Car Car Car,Footnote ak Car Car1,fn Car1,ft Car"/>
    <w:basedOn w:val="Fuentedeprrafopredeter"/>
    <w:link w:val="Textonotapie"/>
    <w:rsid w:val="0011126F"/>
    <w:rPr>
      <w:rFonts w:ascii="Arial" w:hAnsi="Arial"/>
      <w:lang w:val="es-ES" w:eastAsia="es-PE" w:bidi="ar-SA"/>
    </w:rPr>
  </w:style>
  <w:style w:type="paragraph" w:styleId="Piedepgina">
    <w:name w:val="footer"/>
    <w:basedOn w:val="Normal"/>
    <w:link w:val="PiedepginaCar"/>
    <w:rsid w:val="005C23FB"/>
    <w:pPr>
      <w:widowControl/>
      <w:tabs>
        <w:tab w:val="center" w:pos="4252"/>
        <w:tab w:val="right" w:pos="8504"/>
      </w:tabs>
      <w:adjustRightInd/>
      <w:spacing w:line="240" w:lineRule="auto"/>
      <w:jc w:val="left"/>
      <w:textAlignment w:val="auto"/>
    </w:pPr>
    <w:rPr>
      <w:lang w:eastAsia="es-ES"/>
    </w:rPr>
  </w:style>
  <w:style w:type="character" w:customStyle="1" w:styleId="PiedepginaCar">
    <w:name w:val="Pie de página Car"/>
    <w:basedOn w:val="Fuentedeprrafopredeter"/>
    <w:link w:val="Piedepgina"/>
    <w:rsid w:val="005C23FB"/>
    <w:rPr>
      <w:rFonts w:ascii="Arial" w:hAnsi="Arial"/>
      <w:sz w:val="24"/>
      <w:lang w:val="es-ES" w:eastAsia="es-ES" w:bidi="ar-SA"/>
    </w:rPr>
  </w:style>
  <w:style w:type="paragraph" w:customStyle="1" w:styleId="Default">
    <w:name w:val="Default"/>
    <w:rsid w:val="00827DE5"/>
    <w:pPr>
      <w:autoSpaceDE w:val="0"/>
      <w:autoSpaceDN w:val="0"/>
      <w:adjustRightInd w:val="0"/>
    </w:pPr>
    <w:rPr>
      <w:rFonts w:ascii="Arial" w:hAnsi="Arial" w:cs="Arial"/>
      <w:color w:val="000000"/>
      <w:sz w:val="24"/>
      <w:szCs w:val="24"/>
      <w:lang w:val="es-ES" w:eastAsia="es-ES"/>
    </w:rPr>
  </w:style>
  <w:style w:type="paragraph" w:styleId="NormalWeb">
    <w:name w:val="Normal (Web)"/>
    <w:basedOn w:val="Normal"/>
    <w:uiPriority w:val="99"/>
    <w:rsid w:val="007A37AA"/>
    <w:pPr>
      <w:widowControl/>
      <w:adjustRightInd/>
      <w:spacing w:before="100" w:beforeAutospacing="1" w:after="100" w:afterAutospacing="1" w:line="240" w:lineRule="auto"/>
      <w:jc w:val="left"/>
      <w:textAlignment w:val="auto"/>
    </w:pPr>
    <w:rPr>
      <w:rFonts w:ascii="Times New Roman" w:hAnsi="Times New Roman"/>
      <w:color w:val="333333"/>
      <w:szCs w:val="24"/>
      <w:lang w:eastAsia="es-ES"/>
    </w:rPr>
  </w:style>
  <w:style w:type="character" w:styleId="Hipervnculovisitado">
    <w:name w:val="FollowedHyperlink"/>
    <w:basedOn w:val="Fuentedeprrafopredeter"/>
    <w:rsid w:val="006F5EFE"/>
    <w:rPr>
      <w:color w:val="800080"/>
      <w:u w:val="single"/>
    </w:rPr>
  </w:style>
  <w:style w:type="table" w:styleId="Tablaconcuadrcula">
    <w:name w:val="Table Grid"/>
    <w:basedOn w:val="Tablanormal"/>
    <w:rsid w:val="006634B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cabezado">
    <w:name w:val="header"/>
    <w:basedOn w:val="Normal"/>
    <w:link w:val="EncabezadoCar"/>
    <w:uiPriority w:val="99"/>
    <w:rsid w:val="008B0E5F"/>
    <w:pPr>
      <w:tabs>
        <w:tab w:val="center" w:pos="4252"/>
        <w:tab w:val="right" w:pos="8504"/>
      </w:tabs>
    </w:pPr>
  </w:style>
  <w:style w:type="character" w:styleId="Nmerodepgina">
    <w:name w:val="page number"/>
    <w:basedOn w:val="Fuentedeprrafopredeter"/>
    <w:rsid w:val="008B0E5F"/>
  </w:style>
  <w:style w:type="paragraph" w:styleId="Textodeglobo">
    <w:name w:val="Balloon Text"/>
    <w:basedOn w:val="Normal"/>
    <w:link w:val="TextodegloboCar"/>
    <w:rsid w:val="0062241D"/>
    <w:pPr>
      <w:spacing w:line="240" w:lineRule="auto"/>
    </w:pPr>
    <w:rPr>
      <w:rFonts w:ascii="Tahoma" w:hAnsi="Tahoma" w:cs="Tahoma"/>
      <w:sz w:val="16"/>
      <w:szCs w:val="16"/>
    </w:rPr>
  </w:style>
  <w:style w:type="character" w:customStyle="1" w:styleId="TextodegloboCar">
    <w:name w:val="Texto de globo Car"/>
    <w:basedOn w:val="Fuentedeprrafopredeter"/>
    <w:link w:val="Textodeglobo"/>
    <w:rsid w:val="0062241D"/>
    <w:rPr>
      <w:rFonts w:ascii="Tahoma" w:hAnsi="Tahoma" w:cs="Tahoma"/>
      <w:sz w:val="16"/>
      <w:szCs w:val="16"/>
      <w:lang w:val="es-ES"/>
    </w:rPr>
  </w:style>
  <w:style w:type="paragraph" w:styleId="Prrafodelista">
    <w:name w:val="List Paragraph"/>
    <w:basedOn w:val="Normal"/>
    <w:uiPriority w:val="34"/>
    <w:qFormat/>
    <w:rsid w:val="00045C46"/>
    <w:pPr>
      <w:ind w:left="720"/>
      <w:contextualSpacing/>
    </w:pPr>
  </w:style>
  <w:style w:type="paragraph" w:styleId="Textodecuerpo">
    <w:name w:val="Body Text"/>
    <w:basedOn w:val="Normal"/>
    <w:link w:val="TextodecuerpoCar"/>
    <w:rsid w:val="009B3F36"/>
    <w:pPr>
      <w:widowControl/>
      <w:overflowPunct w:val="0"/>
      <w:autoSpaceDE w:val="0"/>
      <w:autoSpaceDN w:val="0"/>
      <w:spacing w:line="240" w:lineRule="auto"/>
    </w:pPr>
    <w:rPr>
      <w:sz w:val="28"/>
      <w:lang w:val="es-ES_tradnl"/>
    </w:rPr>
  </w:style>
  <w:style w:type="character" w:customStyle="1" w:styleId="TextodecuerpoCar">
    <w:name w:val="Texto de cuerpo Car"/>
    <w:basedOn w:val="Fuentedeprrafopredeter"/>
    <w:link w:val="Textodecuerpo"/>
    <w:rsid w:val="009B3F36"/>
    <w:rPr>
      <w:rFonts w:ascii="Arial" w:hAnsi="Arial"/>
      <w:sz w:val="28"/>
      <w:lang w:val="es-ES_tradnl"/>
    </w:rPr>
  </w:style>
  <w:style w:type="paragraph" w:styleId="Sangradetdecuerpo">
    <w:name w:val="Body Text Indent"/>
    <w:basedOn w:val="Normal"/>
    <w:link w:val="SangradetdecuerpoCar"/>
    <w:rsid w:val="00D25DA2"/>
    <w:pPr>
      <w:spacing w:after="120"/>
      <w:ind w:left="283"/>
    </w:pPr>
  </w:style>
  <w:style w:type="character" w:customStyle="1" w:styleId="SangradetdecuerpoCar">
    <w:name w:val="Sangría de t. de cuerpo Car"/>
    <w:basedOn w:val="Fuentedeprrafopredeter"/>
    <w:link w:val="Sangradetdecuerpo"/>
    <w:rsid w:val="00D25DA2"/>
    <w:rPr>
      <w:rFonts w:ascii="Arial" w:hAnsi="Arial"/>
      <w:sz w:val="24"/>
      <w:lang w:val="es-ES"/>
    </w:rPr>
  </w:style>
  <w:style w:type="paragraph" w:customStyle="1" w:styleId="bodytext2">
    <w:name w:val="bodytext2"/>
    <w:basedOn w:val="Normal"/>
    <w:rsid w:val="00D25DA2"/>
    <w:pPr>
      <w:widowControl/>
      <w:overflowPunct w:val="0"/>
      <w:autoSpaceDE w:val="0"/>
      <w:autoSpaceDN w:val="0"/>
      <w:adjustRightInd/>
      <w:spacing w:line="240" w:lineRule="auto"/>
      <w:textAlignment w:val="auto"/>
    </w:pPr>
    <w:rPr>
      <w:rFonts w:cs="Arial"/>
      <w:sz w:val="22"/>
      <w:szCs w:val="22"/>
      <w:lang w:eastAsia="es-ES"/>
    </w:rPr>
  </w:style>
  <w:style w:type="character" w:styleId="Refdecomentario">
    <w:name w:val="annotation reference"/>
    <w:basedOn w:val="Fuentedeprrafopredeter"/>
    <w:uiPriority w:val="99"/>
    <w:rsid w:val="005174F5"/>
    <w:rPr>
      <w:sz w:val="16"/>
      <w:szCs w:val="16"/>
    </w:rPr>
  </w:style>
  <w:style w:type="paragraph" w:styleId="Textocomentario">
    <w:name w:val="annotation text"/>
    <w:basedOn w:val="Normal"/>
    <w:link w:val="TextocomentarioCar"/>
    <w:rsid w:val="005174F5"/>
    <w:pPr>
      <w:spacing w:line="240" w:lineRule="auto"/>
    </w:pPr>
    <w:rPr>
      <w:sz w:val="20"/>
    </w:rPr>
  </w:style>
  <w:style w:type="character" w:customStyle="1" w:styleId="TextocomentarioCar">
    <w:name w:val="Texto comentario Car"/>
    <w:basedOn w:val="Fuentedeprrafopredeter"/>
    <w:link w:val="Textocomentario"/>
    <w:rsid w:val="005174F5"/>
    <w:rPr>
      <w:rFonts w:ascii="Arial" w:hAnsi="Arial"/>
      <w:lang w:val="es-ES"/>
    </w:rPr>
  </w:style>
  <w:style w:type="paragraph" w:styleId="Asuntodelcomentario">
    <w:name w:val="annotation subject"/>
    <w:basedOn w:val="Textocomentario"/>
    <w:next w:val="Textocomentario"/>
    <w:link w:val="AsuntodelcomentarioCar"/>
    <w:rsid w:val="005174F5"/>
    <w:rPr>
      <w:b/>
      <w:bCs/>
    </w:rPr>
  </w:style>
  <w:style w:type="character" w:customStyle="1" w:styleId="AsuntodelcomentarioCar">
    <w:name w:val="Asunto del comentario Car"/>
    <w:basedOn w:val="TextocomentarioCar"/>
    <w:link w:val="Asuntodelcomentario"/>
    <w:rsid w:val="005174F5"/>
    <w:rPr>
      <w:rFonts w:ascii="Arial" w:hAnsi="Arial"/>
      <w:b/>
      <w:bCs/>
      <w:lang w:val="es-ES"/>
    </w:rPr>
  </w:style>
  <w:style w:type="character" w:styleId="Enfasis">
    <w:name w:val="Emphasis"/>
    <w:basedOn w:val="Fuentedeprrafopredeter"/>
    <w:uiPriority w:val="20"/>
    <w:qFormat/>
    <w:rsid w:val="00347CFD"/>
    <w:rPr>
      <w:i/>
      <w:iCs/>
    </w:rPr>
  </w:style>
  <w:style w:type="character" w:customStyle="1" w:styleId="EncabezadoCar">
    <w:name w:val="Encabezado Car"/>
    <w:basedOn w:val="Fuentedeprrafopredeter"/>
    <w:link w:val="Encabezado"/>
    <w:uiPriority w:val="99"/>
    <w:rsid w:val="00842C82"/>
    <w:rPr>
      <w:rFonts w:ascii="Arial" w:hAnsi="Arial"/>
      <w:sz w:val="24"/>
      <w:lang w:val="es-ES"/>
    </w:rPr>
  </w:style>
  <w:style w:type="paragraph" w:customStyle="1" w:styleId="Estilo2">
    <w:name w:val="Estilo2"/>
    <w:basedOn w:val="Normal"/>
    <w:rsid w:val="00842C82"/>
    <w:pPr>
      <w:widowControl/>
      <w:adjustRightInd/>
      <w:spacing w:line="240" w:lineRule="auto"/>
      <w:textAlignment w:val="auto"/>
    </w:pPr>
  </w:style>
  <w:style w:type="character" w:customStyle="1" w:styleId="apple-style-span">
    <w:name w:val="apple-style-span"/>
    <w:basedOn w:val="Fuentedeprrafopredeter"/>
    <w:rsid w:val="000E7B1C"/>
  </w:style>
  <w:style w:type="paragraph" w:customStyle="1" w:styleId="Listavistosa-nfasis11">
    <w:name w:val="Lista vistosa - Énfasis 11"/>
    <w:basedOn w:val="Normal"/>
    <w:uiPriority w:val="34"/>
    <w:qFormat/>
    <w:rsid w:val="000E7B1C"/>
    <w:pPr>
      <w:widowControl/>
      <w:adjustRightInd/>
      <w:spacing w:line="240" w:lineRule="auto"/>
      <w:ind w:left="720"/>
      <w:contextualSpacing/>
      <w:jc w:val="left"/>
      <w:textAlignment w:val="auto"/>
    </w:pPr>
    <w:rPr>
      <w:lang w:val="es-PE"/>
    </w:rPr>
  </w:style>
  <w:style w:type="paragraph" w:styleId="Textonotaalfinal">
    <w:name w:val="endnote text"/>
    <w:basedOn w:val="Normal"/>
    <w:link w:val="TextonotaalfinalCar"/>
    <w:rsid w:val="006A7313"/>
    <w:pPr>
      <w:spacing w:line="240" w:lineRule="auto"/>
    </w:pPr>
    <w:rPr>
      <w:sz w:val="20"/>
    </w:rPr>
  </w:style>
  <w:style w:type="character" w:customStyle="1" w:styleId="TextonotaalfinalCar">
    <w:name w:val="Texto nota al final Car"/>
    <w:basedOn w:val="Fuentedeprrafopredeter"/>
    <w:link w:val="Textonotaalfinal"/>
    <w:rsid w:val="006A7313"/>
    <w:rPr>
      <w:rFonts w:ascii="Arial" w:hAnsi="Arial"/>
      <w:lang w:val="es-ES"/>
    </w:rPr>
  </w:style>
  <w:style w:type="character" w:styleId="Refdenotaalfinal">
    <w:name w:val="endnote reference"/>
    <w:basedOn w:val="Fuentedeprrafopredeter"/>
    <w:rsid w:val="006A7313"/>
    <w:rPr>
      <w:vertAlign w:val="superscript"/>
    </w:rPr>
  </w:style>
  <w:style w:type="paragraph" w:styleId="Sangra2detdecuerpo">
    <w:name w:val="Body Text Indent 2"/>
    <w:basedOn w:val="Normal"/>
    <w:link w:val="Sangra2detdecuerpoCar"/>
    <w:rsid w:val="000C1F10"/>
    <w:pPr>
      <w:spacing w:after="120" w:line="480" w:lineRule="auto"/>
      <w:ind w:left="283"/>
    </w:pPr>
  </w:style>
  <w:style w:type="character" w:customStyle="1" w:styleId="Sangra2detdecuerpoCar">
    <w:name w:val="Sangría 2 de t. de cuerpo Car"/>
    <w:basedOn w:val="Fuentedeprrafopredeter"/>
    <w:link w:val="Sangra2detdecuerpo"/>
    <w:rsid w:val="000C1F10"/>
    <w:rPr>
      <w:rFonts w:ascii="Arial" w:hAnsi="Arial"/>
      <w:sz w:val="24"/>
      <w:lang w:val="es-E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PE" w:eastAsia="es-PE" w:bidi="ar-SA"/>
      </w:rPr>
    </w:rPrDefault>
    <w:pPrDefault/>
  </w:docDefaults>
  <w:latentStyles w:defLockedState="0" w:defUIPriority="0" w:defSemiHidden="0" w:defUnhideWhenUsed="0" w:defQFormat="0" w:count="2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footnote reference" w:uiPriority="99"/>
    <w:lsdException w:name="Title" w:qFormat="1"/>
    <w:lsdException w:name="Subtitle" w:qFormat="1"/>
    <w:lsdException w:name="Strong" w:qFormat="1"/>
    <w:lsdException w:name="Emphasis" w:uiPriority="20"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64093"/>
    <w:pPr>
      <w:widowControl w:val="0"/>
      <w:adjustRightInd w:val="0"/>
      <w:spacing w:line="360" w:lineRule="atLeast"/>
      <w:jc w:val="both"/>
      <w:textAlignment w:val="baseline"/>
    </w:pPr>
    <w:rPr>
      <w:rFonts w:ascii="Arial" w:hAnsi="Arial"/>
      <w:sz w:val="24"/>
      <w:lang w:val="es-ES"/>
    </w:rPr>
  </w:style>
  <w:style w:type="paragraph" w:styleId="Ttulo1">
    <w:name w:val="heading 1"/>
    <w:basedOn w:val="Normal"/>
    <w:next w:val="Normal"/>
    <w:qFormat/>
    <w:rsid w:val="001D6999"/>
    <w:pPr>
      <w:keepNext/>
      <w:spacing w:before="240" w:after="60"/>
      <w:outlineLvl w:val="0"/>
    </w:pPr>
    <w:rPr>
      <w:rFonts w:cs="Arial"/>
      <w:b/>
      <w:bCs/>
      <w:kern w:val="32"/>
      <w:sz w:val="32"/>
      <w:szCs w:val="32"/>
    </w:rPr>
  </w:style>
  <w:style w:type="paragraph" w:styleId="Ttulo2">
    <w:name w:val="heading 2"/>
    <w:basedOn w:val="Normal"/>
    <w:next w:val="Normal"/>
    <w:qFormat/>
    <w:rsid w:val="00A64093"/>
    <w:pPr>
      <w:keepNext/>
      <w:spacing w:before="240" w:after="60"/>
      <w:outlineLvl w:val="1"/>
    </w:pPr>
    <w:rPr>
      <w:rFonts w:cs="Arial"/>
      <w:b/>
      <w:bCs/>
      <w:iCs/>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rrafodelista1">
    <w:name w:val="Párrafo de lista1"/>
    <w:basedOn w:val="Normal"/>
    <w:rsid w:val="00EB66AC"/>
    <w:pPr>
      <w:ind w:left="720"/>
    </w:pPr>
    <w:rPr>
      <w:rFonts w:eastAsia="Calibri"/>
    </w:rPr>
  </w:style>
  <w:style w:type="paragraph" w:customStyle="1" w:styleId="Derechi">
    <w:name w:val="Derechi"/>
    <w:basedOn w:val="Normal"/>
    <w:rsid w:val="001D6999"/>
    <w:pPr>
      <w:widowControl/>
      <w:adjustRightInd/>
      <w:spacing w:line="240" w:lineRule="auto"/>
      <w:ind w:left="5954"/>
      <w:textAlignment w:val="auto"/>
    </w:pPr>
    <w:rPr>
      <w:snapToGrid w:val="0"/>
      <w:lang w:val="es-ES_tradnl" w:eastAsia="es-ES"/>
    </w:rPr>
  </w:style>
  <w:style w:type="paragraph" w:styleId="Ttulo">
    <w:name w:val="Title"/>
    <w:basedOn w:val="Normal"/>
    <w:qFormat/>
    <w:rsid w:val="001D6999"/>
    <w:pPr>
      <w:widowControl/>
      <w:adjustRightInd/>
      <w:spacing w:line="240" w:lineRule="auto"/>
      <w:ind w:left="142"/>
      <w:jc w:val="center"/>
      <w:textAlignment w:val="auto"/>
    </w:pPr>
    <w:rPr>
      <w:b/>
      <w:sz w:val="21"/>
      <w:lang w:val="es-ES_tradnl" w:eastAsia="es-ES"/>
    </w:rPr>
  </w:style>
  <w:style w:type="paragraph" w:styleId="Textonotapie">
    <w:name w:val="footnote text"/>
    <w:aliases w:val="Texto nota pie Car,fn Car,footnote text Car,Footnotes Car,Footnote ak Car Car,Texto nota pie Car Car,fn Car Car,footnote text Car Car,Footnotes Car Car,Footnote ak Car,Footnote Text Char,fn,footnote text,Footnotes,Footnote ak,ft,fn cafc"/>
    <w:basedOn w:val="Normal"/>
    <w:link w:val="TextonotapieCar1"/>
    <w:rsid w:val="00EF79F7"/>
    <w:rPr>
      <w:sz w:val="20"/>
    </w:rPr>
  </w:style>
  <w:style w:type="character" w:styleId="Refdenotaalpie">
    <w:name w:val="footnote reference"/>
    <w:aliases w:val="Ref,de nota al pie"/>
    <w:basedOn w:val="Fuentedeprrafopredeter"/>
    <w:uiPriority w:val="99"/>
    <w:rsid w:val="00EF79F7"/>
    <w:rPr>
      <w:vertAlign w:val="superscript"/>
    </w:rPr>
  </w:style>
  <w:style w:type="character" w:styleId="CitaHTML">
    <w:name w:val="HTML Cite"/>
    <w:basedOn w:val="Fuentedeprrafopredeter"/>
    <w:rsid w:val="00EF79F7"/>
    <w:rPr>
      <w:i/>
      <w:iCs/>
    </w:rPr>
  </w:style>
  <w:style w:type="character" w:styleId="Hipervnculo">
    <w:name w:val="Hyperlink"/>
    <w:basedOn w:val="Fuentedeprrafopredeter"/>
    <w:rsid w:val="00EF79F7"/>
    <w:rPr>
      <w:color w:val="0000FF"/>
      <w:u w:val="single"/>
    </w:rPr>
  </w:style>
  <w:style w:type="character" w:customStyle="1" w:styleId="TextonotapieCar1">
    <w:name w:val="Texto nota pie Car1"/>
    <w:aliases w:val="Texto nota pie Car Car1,fn Car Car1,footnote text Car Car1,Footnotes Car Car1,Footnote ak Car Car Car,Texto nota pie Car Car Car,fn Car Car Car,footnote text Car Car Car,Footnotes Car Car Car,Footnote ak Car Car1,fn Car1,ft Car"/>
    <w:basedOn w:val="Fuentedeprrafopredeter"/>
    <w:link w:val="Textonotapie"/>
    <w:rsid w:val="0011126F"/>
    <w:rPr>
      <w:rFonts w:ascii="Arial" w:hAnsi="Arial"/>
      <w:lang w:val="es-ES" w:eastAsia="es-PE" w:bidi="ar-SA"/>
    </w:rPr>
  </w:style>
  <w:style w:type="paragraph" w:styleId="Piedepgina">
    <w:name w:val="footer"/>
    <w:basedOn w:val="Normal"/>
    <w:link w:val="PiedepginaCar"/>
    <w:rsid w:val="005C23FB"/>
    <w:pPr>
      <w:widowControl/>
      <w:tabs>
        <w:tab w:val="center" w:pos="4252"/>
        <w:tab w:val="right" w:pos="8504"/>
      </w:tabs>
      <w:adjustRightInd/>
      <w:spacing w:line="240" w:lineRule="auto"/>
      <w:jc w:val="left"/>
      <w:textAlignment w:val="auto"/>
    </w:pPr>
    <w:rPr>
      <w:lang w:eastAsia="es-ES"/>
    </w:rPr>
  </w:style>
  <w:style w:type="character" w:customStyle="1" w:styleId="PiedepginaCar">
    <w:name w:val="Pie de página Car"/>
    <w:basedOn w:val="Fuentedeprrafopredeter"/>
    <w:link w:val="Piedepgina"/>
    <w:rsid w:val="005C23FB"/>
    <w:rPr>
      <w:rFonts w:ascii="Arial" w:hAnsi="Arial"/>
      <w:sz w:val="24"/>
      <w:lang w:val="es-ES" w:eastAsia="es-ES" w:bidi="ar-SA"/>
    </w:rPr>
  </w:style>
  <w:style w:type="paragraph" w:customStyle="1" w:styleId="Default">
    <w:name w:val="Default"/>
    <w:rsid w:val="00827DE5"/>
    <w:pPr>
      <w:autoSpaceDE w:val="0"/>
      <w:autoSpaceDN w:val="0"/>
      <w:adjustRightInd w:val="0"/>
    </w:pPr>
    <w:rPr>
      <w:rFonts w:ascii="Arial" w:hAnsi="Arial" w:cs="Arial"/>
      <w:color w:val="000000"/>
      <w:sz w:val="24"/>
      <w:szCs w:val="24"/>
      <w:lang w:val="es-ES" w:eastAsia="es-ES"/>
    </w:rPr>
  </w:style>
  <w:style w:type="paragraph" w:styleId="NormalWeb">
    <w:name w:val="Normal (Web)"/>
    <w:basedOn w:val="Normal"/>
    <w:rsid w:val="007A37AA"/>
    <w:pPr>
      <w:widowControl/>
      <w:adjustRightInd/>
      <w:spacing w:before="100" w:beforeAutospacing="1" w:after="100" w:afterAutospacing="1" w:line="240" w:lineRule="auto"/>
      <w:jc w:val="left"/>
      <w:textAlignment w:val="auto"/>
    </w:pPr>
    <w:rPr>
      <w:rFonts w:ascii="Times New Roman" w:hAnsi="Times New Roman"/>
      <w:color w:val="333333"/>
      <w:szCs w:val="24"/>
      <w:lang w:eastAsia="es-ES"/>
    </w:rPr>
  </w:style>
  <w:style w:type="character" w:styleId="Hipervnculovisitado">
    <w:name w:val="FollowedHyperlink"/>
    <w:basedOn w:val="Fuentedeprrafopredeter"/>
    <w:rsid w:val="006F5EFE"/>
    <w:rPr>
      <w:color w:val="800080"/>
      <w:u w:val="single"/>
    </w:rPr>
  </w:style>
  <w:style w:type="table" w:styleId="Tablaconcuadrcula">
    <w:name w:val="Table Grid"/>
    <w:basedOn w:val="Tablanormal"/>
    <w:rsid w:val="006634B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cabezado">
    <w:name w:val="header"/>
    <w:basedOn w:val="Normal"/>
    <w:link w:val="EncabezadoCar"/>
    <w:uiPriority w:val="99"/>
    <w:rsid w:val="008B0E5F"/>
    <w:pPr>
      <w:tabs>
        <w:tab w:val="center" w:pos="4252"/>
        <w:tab w:val="right" w:pos="8504"/>
      </w:tabs>
    </w:pPr>
  </w:style>
  <w:style w:type="character" w:styleId="Nmerodepgina">
    <w:name w:val="page number"/>
    <w:basedOn w:val="Fuentedeprrafopredeter"/>
    <w:rsid w:val="008B0E5F"/>
  </w:style>
  <w:style w:type="paragraph" w:styleId="Textodeglobo">
    <w:name w:val="Balloon Text"/>
    <w:basedOn w:val="Normal"/>
    <w:link w:val="TextodegloboCar"/>
    <w:rsid w:val="0062241D"/>
    <w:pPr>
      <w:spacing w:line="240" w:lineRule="auto"/>
    </w:pPr>
    <w:rPr>
      <w:rFonts w:ascii="Tahoma" w:hAnsi="Tahoma" w:cs="Tahoma"/>
      <w:sz w:val="16"/>
      <w:szCs w:val="16"/>
    </w:rPr>
  </w:style>
  <w:style w:type="character" w:customStyle="1" w:styleId="TextodegloboCar">
    <w:name w:val="Texto de globo Car"/>
    <w:basedOn w:val="Fuentedeprrafopredeter"/>
    <w:link w:val="Textodeglobo"/>
    <w:rsid w:val="0062241D"/>
    <w:rPr>
      <w:rFonts w:ascii="Tahoma" w:hAnsi="Tahoma" w:cs="Tahoma"/>
      <w:sz w:val="16"/>
      <w:szCs w:val="16"/>
      <w:lang w:val="es-ES"/>
    </w:rPr>
  </w:style>
  <w:style w:type="paragraph" w:styleId="Prrafodelista">
    <w:name w:val="List Paragraph"/>
    <w:basedOn w:val="Normal"/>
    <w:uiPriority w:val="34"/>
    <w:qFormat/>
    <w:rsid w:val="00045C46"/>
    <w:pPr>
      <w:ind w:left="720"/>
      <w:contextualSpacing/>
    </w:pPr>
  </w:style>
  <w:style w:type="paragraph" w:styleId="Textodecuerpo">
    <w:name w:val="Body Text"/>
    <w:basedOn w:val="Normal"/>
    <w:link w:val="TextodecuerpoCar"/>
    <w:rsid w:val="009B3F36"/>
    <w:pPr>
      <w:widowControl/>
      <w:overflowPunct w:val="0"/>
      <w:autoSpaceDE w:val="0"/>
      <w:autoSpaceDN w:val="0"/>
      <w:spacing w:line="240" w:lineRule="auto"/>
    </w:pPr>
    <w:rPr>
      <w:sz w:val="28"/>
      <w:lang w:val="es-ES_tradnl"/>
    </w:rPr>
  </w:style>
  <w:style w:type="character" w:customStyle="1" w:styleId="TextodecuerpoCar">
    <w:name w:val="Texto independiente Car"/>
    <w:basedOn w:val="Fuentedeprrafopredeter"/>
    <w:link w:val="Textodecuerpo"/>
    <w:rsid w:val="009B3F36"/>
    <w:rPr>
      <w:rFonts w:ascii="Arial" w:hAnsi="Arial"/>
      <w:sz w:val="28"/>
      <w:lang w:val="es-ES_tradnl"/>
    </w:rPr>
  </w:style>
  <w:style w:type="paragraph" w:styleId="Sangradetdecuerpo">
    <w:name w:val="Body Text Indent"/>
    <w:basedOn w:val="Normal"/>
    <w:link w:val="SangradetdecuerpoCar"/>
    <w:rsid w:val="00D25DA2"/>
    <w:pPr>
      <w:spacing w:after="120"/>
      <w:ind w:left="283"/>
    </w:pPr>
  </w:style>
  <w:style w:type="character" w:customStyle="1" w:styleId="SangradetdecuerpoCar">
    <w:name w:val="Sangría de texto normal Car"/>
    <w:basedOn w:val="Fuentedeprrafopredeter"/>
    <w:link w:val="Sangradetdecuerpo"/>
    <w:rsid w:val="00D25DA2"/>
    <w:rPr>
      <w:rFonts w:ascii="Arial" w:hAnsi="Arial"/>
      <w:sz w:val="24"/>
      <w:lang w:val="es-ES"/>
    </w:rPr>
  </w:style>
  <w:style w:type="paragraph" w:customStyle="1" w:styleId="bodytext2">
    <w:name w:val="bodytext2"/>
    <w:basedOn w:val="Normal"/>
    <w:rsid w:val="00D25DA2"/>
    <w:pPr>
      <w:widowControl/>
      <w:overflowPunct w:val="0"/>
      <w:autoSpaceDE w:val="0"/>
      <w:autoSpaceDN w:val="0"/>
      <w:adjustRightInd/>
      <w:spacing w:line="240" w:lineRule="auto"/>
      <w:textAlignment w:val="auto"/>
    </w:pPr>
    <w:rPr>
      <w:rFonts w:cs="Arial"/>
      <w:sz w:val="22"/>
      <w:szCs w:val="22"/>
      <w:lang w:eastAsia="es-ES"/>
    </w:rPr>
  </w:style>
  <w:style w:type="character" w:styleId="Refdecomentario">
    <w:name w:val="annotation reference"/>
    <w:basedOn w:val="Fuentedeprrafopredeter"/>
    <w:rsid w:val="005174F5"/>
    <w:rPr>
      <w:sz w:val="16"/>
      <w:szCs w:val="16"/>
    </w:rPr>
  </w:style>
  <w:style w:type="paragraph" w:styleId="Textocomentario">
    <w:name w:val="annotation text"/>
    <w:basedOn w:val="Normal"/>
    <w:link w:val="TextocomentarioCar"/>
    <w:rsid w:val="005174F5"/>
    <w:pPr>
      <w:spacing w:line="240" w:lineRule="auto"/>
    </w:pPr>
    <w:rPr>
      <w:sz w:val="20"/>
    </w:rPr>
  </w:style>
  <w:style w:type="character" w:customStyle="1" w:styleId="TextocomentarioCar">
    <w:name w:val="Texto comentario Car"/>
    <w:basedOn w:val="Fuentedeprrafopredeter"/>
    <w:link w:val="Textocomentario"/>
    <w:rsid w:val="005174F5"/>
    <w:rPr>
      <w:rFonts w:ascii="Arial" w:hAnsi="Arial"/>
      <w:lang w:val="es-ES"/>
    </w:rPr>
  </w:style>
  <w:style w:type="paragraph" w:styleId="Asuntodelcomentario">
    <w:name w:val="annotation subject"/>
    <w:basedOn w:val="Textocomentario"/>
    <w:next w:val="Textocomentario"/>
    <w:link w:val="AsuntodelcomentarioCar"/>
    <w:rsid w:val="005174F5"/>
    <w:rPr>
      <w:b/>
      <w:bCs/>
    </w:rPr>
  </w:style>
  <w:style w:type="character" w:customStyle="1" w:styleId="AsuntodelcomentarioCar">
    <w:name w:val="Asunto del comentario Car"/>
    <w:basedOn w:val="TextocomentarioCar"/>
    <w:link w:val="Asuntodelcomentario"/>
    <w:rsid w:val="005174F5"/>
    <w:rPr>
      <w:rFonts w:ascii="Arial" w:hAnsi="Arial"/>
      <w:b/>
      <w:bCs/>
      <w:lang w:val="es-ES"/>
    </w:rPr>
  </w:style>
  <w:style w:type="character" w:styleId="Enfasis">
    <w:name w:val="Emphasis"/>
    <w:basedOn w:val="Fuentedeprrafopredeter"/>
    <w:uiPriority w:val="20"/>
    <w:qFormat/>
    <w:rsid w:val="00347CFD"/>
    <w:rPr>
      <w:i/>
      <w:iCs/>
    </w:rPr>
  </w:style>
  <w:style w:type="character" w:customStyle="1" w:styleId="EncabezadoCar">
    <w:name w:val="Encabezado Car"/>
    <w:basedOn w:val="Fuentedeprrafopredeter"/>
    <w:link w:val="Encabezado"/>
    <w:uiPriority w:val="99"/>
    <w:rsid w:val="00842C82"/>
    <w:rPr>
      <w:rFonts w:ascii="Arial" w:hAnsi="Arial"/>
      <w:sz w:val="24"/>
      <w:lang w:val="es-ES"/>
    </w:rPr>
  </w:style>
  <w:style w:type="paragraph" w:customStyle="1" w:styleId="Estilo2">
    <w:name w:val="Estilo2"/>
    <w:basedOn w:val="Normal"/>
    <w:rsid w:val="00842C82"/>
    <w:pPr>
      <w:widowControl/>
      <w:adjustRightInd/>
      <w:spacing w:line="240" w:lineRule="auto"/>
      <w:textAlignment w:val="auto"/>
    </w:pPr>
  </w:style>
  <w:style w:type="character" w:customStyle="1" w:styleId="apple-style-span">
    <w:name w:val="apple-style-span"/>
    <w:basedOn w:val="Fuentedeprrafopredeter"/>
    <w:rsid w:val="000E7B1C"/>
  </w:style>
  <w:style w:type="paragraph" w:customStyle="1" w:styleId="Listavistosa-nfasis11">
    <w:name w:val="Lista vistosa - Énfasis 11"/>
    <w:basedOn w:val="Normal"/>
    <w:uiPriority w:val="34"/>
    <w:qFormat/>
    <w:rsid w:val="000E7B1C"/>
    <w:pPr>
      <w:widowControl/>
      <w:adjustRightInd/>
      <w:spacing w:line="240" w:lineRule="auto"/>
      <w:ind w:left="720"/>
      <w:contextualSpacing/>
      <w:jc w:val="left"/>
      <w:textAlignment w:val="auto"/>
    </w:pPr>
    <w:rPr>
      <w:lang w:val="es-PE"/>
    </w:rPr>
  </w:style>
  <w:style w:type="paragraph" w:styleId="Textonotaalfinal">
    <w:name w:val="endnote text"/>
    <w:basedOn w:val="Normal"/>
    <w:link w:val="TextonotaalfinalCar"/>
    <w:rsid w:val="006A7313"/>
    <w:pPr>
      <w:spacing w:line="240" w:lineRule="auto"/>
    </w:pPr>
    <w:rPr>
      <w:sz w:val="20"/>
    </w:rPr>
  </w:style>
  <w:style w:type="character" w:customStyle="1" w:styleId="TextonotaalfinalCar">
    <w:name w:val="Texto nota al final Car"/>
    <w:basedOn w:val="Fuentedeprrafopredeter"/>
    <w:link w:val="Textonotaalfinal"/>
    <w:rsid w:val="006A7313"/>
    <w:rPr>
      <w:rFonts w:ascii="Arial" w:hAnsi="Arial"/>
      <w:lang w:val="es-ES"/>
    </w:rPr>
  </w:style>
  <w:style w:type="character" w:styleId="Refdenotaalfinal">
    <w:name w:val="endnote reference"/>
    <w:basedOn w:val="Fuentedeprrafopredeter"/>
    <w:rsid w:val="006A731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321442">
      <w:bodyDiv w:val="1"/>
      <w:marLeft w:val="0"/>
      <w:marRight w:val="0"/>
      <w:marTop w:val="0"/>
      <w:marBottom w:val="0"/>
      <w:divBdr>
        <w:top w:val="none" w:sz="0" w:space="0" w:color="auto"/>
        <w:left w:val="none" w:sz="0" w:space="0" w:color="auto"/>
        <w:bottom w:val="none" w:sz="0" w:space="0" w:color="auto"/>
        <w:right w:val="none" w:sz="0" w:space="0" w:color="auto"/>
      </w:divBdr>
      <w:divsChild>
        <w:div w:id="27072187">
          <w:marLeft w:val="0"/>
          <w:marRight w:val="0"/>
          <w:marTop w:val="0"/>
          <w:marBottom w:val="0"/>
          <w:divBdr>
            <w:top w:val="none" w:sz="0" w:space="0" w:color="auto"/>
            <w:left w:val="none" w:sz="0" w:space="0" w:color="auto"/>
            <w:bottom w:val="none" w:sz="0" w:space="0" w:color="auto"/>
            <w:right w:val="none" w:sz="0" w:space="0" w:color="auto"/>
          </w:divBdr>
        </w:div>
      </w:divsChild>
    </w:div>
    <w:div w:id="284429235">
      <w:bodyDiv w:val="1"/>
      <w:marLeft w:val="0"/>
      <w:marRight w:val="0"/>
      <w:marTop w:val="0"/>
      <w:marBottom w:val="0"/>
      <w:divBdr>
        <w:top w:val="none" w:sz="0" w:space="0" w:color="auto"/>
        <w:left w:val="none" w:sz="0" w:space="0" w:color="auto"/>
        <w:bottom w:val="none" w:sz="0" w:space="0" w:color="auto"/>
        <w:right w:val="none" w:sz="0" w:space="0" w:color="auto"/>
      </w:divBdr>
      <w:divsChild>
        <w:div w:id="1423524902">
          <w:marLeft w:val="0"/>
          <w:marRight w:val="0"/>
          <w:marTop w:val="0"/>
          <w:marBottom w:val="0"/>
          <w:divBdr>
            <w:top w:val="none" w:sz="0" w:space="0" w:color="auto"/>
            <w:left w:val="none" w:sz="0" w:space="0" w:color="auto"/>
            <w:bottom w:val="none" w:sz="0" w:space="0" w:color="auto"/>
            <w:right w:val="none" w:sz="0" w:space="0" w:color="auto"/>
          </w:divBdr>
        </w:div>
      </w:divsChild>
    </w:div>
    <w:div w:id="1332873499">
      <w:bodyDiv w:val="1"/>
      <w:marLeft w:val="0"/>
      <w:marRight w:val="0"/>
      <w:marTop w:val="0"/>
      <w:marBottom w:val="0"/>
      <w:divBdr>
        <w:top w:val="none" w:sz="0" w:space="0" w:color="auto"/>
        <w:left w:val="none" w:sz="0" w:space="0" w:color="auto"/>
        <w:bottom w:val="none" w:sz="0" w:space="0" w:color="auto"/>
        <w:right w:val="none" w:sz="0" w:space="0" w:color="auto"/>
      </w:divBdr>
    </w:div>
    <w:div w:id="1409377452">
      <w:bodyDiv w:val="1"/>
      <w:marLeft w:val="0"/>
      <w:marRight w:val="0"/>
      <w:marTop w:val="0"/>
      <w:marBottom w:val="0"/>
      <w:divBdr>
        <w:top w:val="none" w:sz="0" w:space="0" w:color="auto"/>
        <w:left w:val="none" w:sz="0" w:space="0" w:color="auto"/>
        <w:bottom w:val="none" w:sz="0" w:space="0" w:color="auto"/>
        <w:right w:val="none" w:sz="0" w:space="0" w:color="auto"/>
      </w:divBdr>
      <w:divsChild>
        <w:div w:id="405348993">
          <w:marLeft w:val="0"/>
          <w:marRight w:val="0"/>
          <w:marTop w:val="0"/>
          <w:marBottom w:val="0"/>
          <w:divBdr>
            <w:top w:val="none" w:sz="0" w:space="0" w:color="auto"/>
            <w:left w:val="none" w:sz="0" w:space="0" w:color="auto"/>
            <w:bottom w:val="none" w:sz="0" w:space="0" w:color="auto"/>
            <w:right w:val="none" w:sz="0" w:space="0" w:color="auto"/>
          </w:divBdr>
        </w:div>
      </w:divsChild>
    </w:div>
    <w:div w:id="1505166184">
      <w:bodyDiv w:val="1"/>
      <w:marLeft w:val="0"/>
      <w:marRight w:val="0"/>
      <w:marTop w:val="0"/>
      <w:marBottom w:val="0"/>
      <w:divBdr>
        <w:top w:val="none" w:sz="0" w:space="0" w:color="auto"/>
        <w:left w:val="none" w:sz="0" w:space="0" w:color="auto"/>
        <w:bottom w:val="none" w:sz="0" w:space="0" w:color="auto"/>
        <w:right w:val="none" w:sz="0" w:space="0" w:color="auto"/>
      </w:divBdr>
    </w:div>
    <w:div w:id="1997804885">
      <w:bodyDiv w:val="1"/>
      <w:marLeft w:val="0"/>
      <w:marRight w:val="0"/>
      <w:marTop w:val="0"/>
      <w:marBottom w:val="0"/>
      <w:divBdr>
        <w:top w:val="none" w:sz="0" w:space="0" w:color="auto"/>
        <w:left w:val="none" w:sz="0" w:space="0" w:color="auto"/>
        <w:bottom w:val="none" w:sz="0" w:space="0" w:color="auto"/>
        <w:right w:val="none" w:sz="0" w:space="0" w:color="auto"/>
      </w:divBdr>
    </w:div>
    <w:div w:id="1998722122">
      <w:bodyDiv w:val="1"/>
      <w:marLeft w:val="0"/>
      <w:marRight w:val="0"/>
      <w:marTop w:val="0"/>
      <w:marBottom w:val="0"/>
      <w:divBdr>
        <w:top w:val="none" w:sz="0" w:space="0" w:color="auto"/>
        <w:left w:val="none" w:sz="0" w:space="0" w:color="auto"/>
        <w:bottom w:val="none" w:sz="0" w:space="0" w:color="auto"/>
        <w:right w:val="none" w:sz="0" w:space="0" w:color="auto"/>
      </w:divBdr>
      <w:divsChild>
        <w:div w:id="88198389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1.xml"/><Relationship Id="rId12" Type="http://schemas.openxmlformats.org/officeDocument/2006/relationships/header" Target="header2.xm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jpeg"/><Relationship Id="rId10"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E27A698-3BF8-7D4C-A1C7-3C957670EC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12</Pages>
  <Words>5742</Words>
  <Characters>31581</Characters>
  <Application>Microsoft Macintosh Word</Application>
  <DocSecurity>0</DocSecurity>
  <Lines>263</Lines>
  <Paragraphs>74</Paragraphs>
  <ScaleCrop>false</ScaleCrop>
  <HeadingPairs>
    <vt:vector size="2" baseType="variant">
      <vt:variant>
        <vt:lpstr>Título</vt:lpstr>
      </vt:variant>
      <vt:variant>
        <vt:i4>1</vt:i4>
      </vt:variant>
    </vt:vector>
  </HeadingPairs>
  <TitlesOfParts>
    <vt:vector size="1" baseType="lpstr">
      <vt:lpstr>DICTAMEN Nº 002-2014</vt:lpstr>
    </vt:vector>
  </TitlesOfParts>
  <Company>SGCA</Company>
  <LinksUpToDate>false</LinksUpToDate>
  <CharactersWithSpaces>37249</CharactersWithSpaces>
  <SharedDoc>false</SharedDoc>
  <HLinks>
    <vt:vector size="36" baseType="variant">
      <vt:variant>
        <vt:i4>2228263</vt:i4>
      </vt:variant>
      <vt:variant>
        <vt:i4>15</vt:i4>
      </vt:variant>
      <vt:variant>
        <vt:i4>0</vt:i4>
      </vt:variant>
      <vt:variant>
        <vt:i4>5</vt:i4>
      </vt:variant>
      <vt:variant>
        <vt:lpwstr>http://www.comunidadandina.org/panc/tlc.htm</vt:lpwstr>
      </vt:variant>
      <vt:variant>
        <vt:lpwstr/>
      </vt:variant>
      <vt:variant>
        <vt:i4>7012433</vt:i4>
      </vt:variant>
      <vt:variant>
        <vt:i4>12</vt:i4>
      </vt:variant>
      <vt:variant>
        <vt:i4>0</vt:i4>
      </vt:variant>
      <vt:variant>
        <vt:i4>5</vt:i4>
      </vt:variant>
      <vt:variant>
        <vt:lpwstr>http://www.ustr.gov/sites/default/files/uploads/factsheets/2005/asset_upload_file490_8547.pdf</vt:lpwstr>
      </vt:variant>
      <vt:variant>
        <vt:lpwstr/>
      </vt:variant>
      <vt:variant>
        <vt:i4>2228263</vt:i4>
      </vt:variant>
      <vt:variant>
        <vt:i4>9</vt:i4>
      </vt:variant>
      <vt:variant>
        <vt:i4>0</vt:i4>
      </vt:variant>
      <vt:variant>
        <vt:i4>5</vt:i4>
      </vt:variant>
      <vt:variant>
        <vt:lpwstr>http://www.comunidadandina.org/panc/tlc.htm</vt:lpwstr>
      </vt:variant>
      <vt:variant>
        <vt:lpwstr/>
      </vt:variant>
      <vt:variant>
        <vt:i4>3539008</vt:i4>
      </vt:variant>
      <vt:variant>
        <vt:i4>6</vt:i4>
      </vt:variant>
      <vt:variant>
        <vt:i4>0</vt:i4>
      </vt:variant>
      <vt:variant>
        <vt:i4>5</vt:i4>
      </vt:variant>
      <vt:variant>
        <vt:lpwstr>http://www.tlcperu-eeuu.gob.pe/downloads/documento/02.Lista_Arancelaria-PERU.pdf</vt:lpwstr>
      </vt:variant>
      <vt:variant>
        <vt:lpwstr/>
      </vt:variant>
      <vt:variant>
        <vt:i4>2031703</vt:i4>
      </vt:variant>
      <vt:variant>
        <vt:i4>3</vt:i4>
      </vt:variant>
      <vt:variant>
        <vt:i4>0</vt:i4>
      </vt:variant>
      <vt:variant>
        <vt:i4>5</vt:i4>
      </vt:variant>
      <vt:variant>
        <vt:lpwstr>http://www.ausa.pe/images/uploads/normas/DS  009_2009_MINCETUR.pdf</vt:lpwstr>
      </vt:variant>
      <vt:variant>
        <vt:lpwstr/>
      </vt:variant>
      <vt:variant>
        <vt:i4>3801129</vt:i4>
      </vt:variant>
      <vt:variant>
        <vt:i4>0</vt:i4>
      </vt:variant>
      <vt:variant>
        <vt:i4>0</vt:i4>
      </vt:variant>
      <vt:variant>
        <vt:i4>5</vt:i4>
      </vt:variant>
      <vt:variant>
        <vt:lpwstr>http://intranet.comunidadandina.org/Documentos/DTrabajo/SGdt276.doc</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DICTAMEN Nº 002-2014</dc:title>
  <dc:subject>PZIFER-COLOMBIA</dc:subject>
  <dc:creator>SGCAN;ASESORIA JURIDICA E 2014</dc:creator>
  <cp:lastModifiedBy>Lorena Herencia</cp:lastModifiedBy>
  <cp:revision>3</cp:revision>
  <cp:lastPrinted>2015-03-24T22:15:00Z</cp:lastPrinted>
  <dcterms:created xsi:type="dcterms:W3CDTF">2015-05-14T15:23:00Z</dcterms:created>
  <dcterms:modified xsi:type="dcterms:W3CDTF">2015-05-14T21:45:00Z</dcterms:modified>
</cp:coreProperties>
</file>